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0" w:line="240" w:lineRule="auto"/>
        <w:jc w:val="center"/>
        <w:rPr>
          <w:rFonts w:ascii="Century Gothic" w:hAnsi="Century Gothic"/>
          <w:b/>
        </w:rPr>
      </w:pPr>
      <w:r>
        <w:rPr>
          <w:rFonts w:ascii="Century Gothic" w:hAnsi="Century Gothic"/>
          <w:b/>
          <w:noProof/>
          <w:lang w:eastAsia="fr-FR"/>
        </w:rPr>
        <w:drawing>
          <wp:anchor distT="0" distB="0" distL="114300" distR="114300" simplePos="0" relativeHeight="251658240" behindDoc="0" locked="0" layoutInCell="1" allowOverlap="1">
            <wp:simplePos x="0" y="0"/>
            <wp:positionH relativeFrom="margin">
              <wp:posOffset>4129405</wp:posOffset>
            </wp:positionH>
            <wp:positionV relativeFrom="paragraph">
              <wp:posOffset>0</wp:posOffset>
            </wp:positionV>
            <wp:extent cx="1914525" cy="525145"/>
            <wp:effectExtent l="0" t="0" r="9525" b="825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hu-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4525" cy="525145"/>
                    </a:xfrm>
                    <a:prstGeom prst="rect">
                      <a:avLst/>
                    </a:prstGeom>
                  </pic:spPr>
                </pic:pic>
              </a:graphicData>
            </a:graphic>
            <wp14:sizeRelH relativeFrom="margin">
              <wp14:pctWidth>0</wp14:pctWidth>
            </wp14:sizeRelH>
            <wp14:sizeRelV relativeFrom="margin">
              <wp14:pctHeight>0</wp14:pctHeight>
            </wp14:sizeRelV>
          </wp:anchor>
        </w:drawing>
      </w:r>
    </w:p>
    <w:p>
      <w:pPr>
        <w:spacing w:after="0" w:line="240" w:lineRule="auto"/>
        <w:jc w:val="center"/>
        <w:rPr>
          <w:rFonts w:ascii="Century Gothic" w:hAnsi="Century Gothic"/>
          <w:b/>
        </w:rPr>
      </w:pPr>
    </w:p>
    <w:p>
      <w:pPr>
        <w:spacing w:after="0" w:line="240" w:lineRule="auto"/>
        <w:rPr>
          <w:rFonts w:ascii="Century Gothic" w:hAnsi="Century Gothic"/>
          <w:b/>
        </w:rPr>
      </w:pPr>
    </w:p>
    <w:p>
      <w:pPr>
        <w:spacing w:after="0" w:line="240" w:lineRule="auto"/>
        <w:jc w:val="center"/>
        <w:rPr>
          <w:rFonts w:ascii="Century Gothic" w:hAnsi="Century Gothic"/>
          <w:b/>
        </w:rPr>
      </w:pPr>
    </w:p>
    <w:p>
      <w:pPr>
        <w:spacing w:after="0" w:line="240" w:lineRule="auto"/>
        <w:jc w:val="center"/>
        <w:rPr>
          <w:rFonts w:ascii="Century Gothic" w:hAnsi="Century Gothic"/>
          <w:b/>
          <w:color w:val="008080"/>
          <w:sz w:val="24"/>
          <w:szCs w:val="24"/>
        </w:rPr>
      </w:pPr>
      <w:r>
        <w:rPr>
          <w:rFonts w:ascii="Century Gothic" w:hAnsi="Century Gothic"/>
          <w:b/>
          <w:color w:val="008080"/>
          <w:sz w:val="24"/>
        </w:rPr>
        <w:t>Médecin investigateur – Centre de Recherche Clinique</w:t>
      </w:r>
    </w:p>
    <w:p>
      <w:pPr>
        <w:spacing w:after="0" w:line="240" w:lineRule="auto"/>
        <w:jc w:val="center"/>
        <w:rPr>
          <w:rFonts w:ascii="Century Gothic" w:hAnsi="Century Gothic"/>
          <w:b/>
        </w:rPr>
      </w:pPr>
    </w:p>
    <w:tbl>
      <w:tblPr>
        <w:tblStyle w:val="Grilledutableau"/>
        <w:tblW w:w="0" w:type="auto"/>
        <w:tblBorders>
          <w:top w:val="single" w:sz="4" w:space="0" w:color="00B1AA"/>
          <w:left w:val="none" w:sz="0" w:space="0" w:color="auto"/>
          <w:bottom w:val="single" w:sz="4" w:space="0" w:color="00B1AA"/>
          <w:right w:val="none" w:sz="0" w:space="0" w:color="auto"/>
          <w:insideH w:val="single" w:sz="4" w:space="0" w:color="00B1AA"/>
          <w:insideV w:val="single" w:sz="4" w:space="0" w:color="00B1AA"/>
        </w:tblBorders>
        <w:tblLook w:val="04A0" w:firstRow="1" w:lastRow="0" w:firstColumn="1" w:lastColumn="0" w:noHBand="0" w:noVBand="1"/>
      </w:tblPr>
      <w:tblGrid>
        <w:gridCol w:w="3256"/>
        <w:gridCol w:w="5806"/>
      </w:tblGrid>
      <w:tr>
        <w:tc>
          <w:tcPr>
            <w:tcW w:w="3256" w:type="dxa"/>
          </w:tcPr>
          <w:p>
            <w:pPr>
              <w:rPr>
                <w:rFonts w:ascii="Century Gothic" w:hAnsi="Century Gothic"/>
                <w:b/>
                <w:sz w:val="19"/>
                <w:szCs w:val="19"/>
              </w:rPr>
            </w:pPr>
            <w:r>
              <w:rPr>
                <w:rFonts w:ascii="Century Gothic" w:hAnsi="Century Gothic"/>
                <w:b/>
                <w:sz w:val="19"/>
                <w:szCs w:val="19"/>
              </w:rPr>
              <w:t>Temps de travail</w:t>
            </w:r>
          </w:p>
        </w:tc>
        <w:tc>
          <w:tcPr>
            <w:tcW w:w="5806" w:type="dxa"/>
          </w:tcPr>
          <w:p>
            <w:r>
              <w:rPr>
                <w:rFonts w:ascii="Century Gothic" w:hAnsi="Century Gothic"/>
                <w:sz w:val="17"/>
              </w:rPr>
              <w:t>Temps plein</w:t>
            </w:r>
          </w:p>
        </w:tc>
      </w:tr>
      <w:tr>
        <w:tc>
          <w:tcPr>
            <w:tcW w:w="3256" w:type="dxa"/>
          </w:tcPr>
          <w:p>
            <w:pPr>
              <w:rPr>
                <w:rFonts w:ascii="Century Gothic" w:hAnsi="Century Gothic"/>
                <w:b/>
                <w:sz w:val="19"/>
                <w:szCs w:val="19"/>
              </w:rPr>
            </w:pPr>
            <w:r>
              <w:rPr>
                <w:rFonts w:ascii="Century Gothic" w:hAnsi="Century Gothic"/>
                <w:b/>
                <w:sz w:val="19"/>
                <w:szCs w:val="19"/>
              </w:rPr>
              <w:t>Statut</w:t>
            </w:r>
          </w:p>
        </w:tc>
        <w:tc>
          <w:tcPr>
            <w:tcW w:w="5806" w:type="dxa"/>
          </w:tcPr>
          <w:p>
            <w:r>
              <w:rPr>
                <w:rFonts w:ascii="Century Gothic" w:hAnsi="Century Gothic"/>
                <w:sz w:val="17"/>
              </w:rPr>
              <w:t>Assistant spécialiste – poste à temps plein</w:t>
            </w:r>
          </w:p>
        </w:tc>
      </w:tr>
      <w:tr>
        <w:tc>
          <w:tcPr>
            <w:tcW w:w="3256" w:type="dxa"/>
          </w:tcPr>
          <w:p>
            <w:pPr>
              <w:rPr>
                <w:rFonts w:ascii="Century Gothic" w:hAnsi="Century Gothic"/>
                <w:b/>
                <w:sz w:val="19"/>
                <w:szCs w:val="19"/>
              </w:rPr>
            </w:pPr>
            <w:r>
              <w:rPr>
                <w:rFonts w:ascii="Century Gothic" w:hAnsi="Century Gothic"/>
                <w:b/>
                <w:sz w:val="19"/>
                <w:szCs w:val="19"/>
              </w:rPr>
              <w:t>Grade</w:t>
            </w:r>
          </w:p>
        </w:tc>
        <w:tc>
          <w:tcPr>
            <w:tcW w:w="5806" w:type="dxa"/>
          </w:tcPr>
          <w:p>
            <w:r>
              <w:rPr>
                <w:rFonts w:ascii="Century Gothic" w:hAnsi="Century Gothic"/>
                <w:sz w:val="17"/>
              </w:rPr>
              <w:t>Assistant spécialiste</w:t>
            </w:r>
          </w:p>
        </w:tc>
      </w:tr>
      <w:tr>
        <w:tc>
          <w:tcPr>
            <w:tcW w:w="3256" w:type="dxa"/>
          </w:tcPr>
          <w:p>
            <w:pPr>
              <w:rPr>
                <w:rFonts w:ascii="Century Gothic" w:hAnsi="Century Gothic"/>
                <w:b/>
                <w:sz w:val="19"/>
                <w:szCs w:val="19"/>
              </w:rPr>
            </w:pPr>
            <w:r>
              <w:rPr>
                <w:rFonts w:ascii="Century Gothic" w:hAnsi="Century Gothic"/>
                <w:b/>
                <w:sz w:val="19"/>
                <w:szCs w:val="19"/>
              </w:rPr>
              <w:t>Intitulé du poste</w:t>
            </w:r>
          </w:p>
        </w:tc>
        <w:tc>
          <w:tcPr>
            <w:tcW w:w="5806" w:type="dxa"/>
          </w:tcPr>
          <w:p>
            <w:r>
              <w:rPr>
                <w:rFonts w:ascii="Century Gothic" w:hAnsi="Century Gothic"/>
                <w:sz w:val="17"/>
              </w:rPr>
              <w:t>Médecin investigateur du Centre de Recherche Clinique (CRC)</w:t>
            </w:r>
          </w:p>
        </w:tc>
      </w:tr>
      <w:tr>
        <w:tc>
          <w:tcPr>
            <w:tcW w:w="3256" w:type="dxa"/>
          </w:tcPr>
          <w:p>
            <w:pPr>
              <w:rPr>
                <w:rFonts w:ascii="Century Gothic" w:hAnsi="Century Gothic"/>
                <w:b/>
                <w:sz w:val="19"/>
                <w:szCs w:val="19"/>
              </w:rPr>
            </w:pPr>
            <w:r>
              <w:rPr>
                <w:rFonts w:ascii="Century Gothic" w:hAnsi="Century Gothic"/>
                <w:b/>
                <w:sz w:val="19"/>
                <w:szCs w:val="19"/>
              </w:rPr>
              <w:t>Lieux de travail</w:t>
            </w:r>
          </w:p>
        </w:tc>
        <w:tc>
          <w:tcPr>
            <w:tcW w:w="5806" w:type="dxa"/>
          </w:tcPr>
          <w:p>
            <w:r>
              <w:rPr>
                <w:rFonts w:ascii="Century Gothic" w:hAnsi="Century Gothic"/>
                <w:sz w:val="17"/>
              </w:rPr>
              <w:t>Site Sainte-Anne – GHU Paris psychiatrie &amp; neurosciences</w:t>
            </w:r>
          </w:p>
        </w:tc>
      </w:tr>
      <w:tr>
        <w:tc>
          <w:tcPr>
            <w:tcW w:w="3256" w:type="dxa"/>
          </w:tcPr>
          <w:p>
            <w:pPr>
              <w:rPr>
                <w:rFonts w:ascii="Century Gothic" w:hAnsi="Century Gothic"/>
                <w:b/>
                <w:sz w:val="19"/>
                <w:szCs w:val="19"/>
              </w:rPr>
            </w:pPr>
            <w:r>
              <w:rPr>
                <w:rFonts w:ascii="Century Gothic" w:hAnsi="Century Gothic"/>
                <w:b/>
                <w:sz w:val="19"/>
                <w:szCs w:val="19"/>
              </w:rPr>
              <w:t>Organisation du travail</w:t>
            </w:r>
          </w:p>
        </w:tc>
        <w:tc>
          <w:tcPr>
            <w:tcW w:w="5806" w:type="dxa"/>
          </w:tcPr>
          <w:p>
            <w:r>
              <w:rPr>
                <w:rFonts w:ascii="Century Gothic" w:hAnsi="Century Gothic"/>
                <w:sz w:val="17"/>
              </w:rPr>
              <w:t>Activité clinique de recherche, au sein d’une équipe pluridisciplinaire</w:t>
            </w:r>
          </w:p>
        </w:tc>
      </w:tr>
      <w:tr>
        <w:tc>
          <w:tcPr>
            <w:tcW w:w="3256" w:type="dxa"/>
          </w:tcPr>
          <w:p>
            <w:pPr>
              <w:rPr>
                <w:rFonts w:ascii="Century Gothic" w:hAnsi="Century Gothic"/>
                <w:b/>
                <w:sz w:val="19"/>
                <w:szCs w:val="19"/>
              </w:rPr>
            </w:pPr>
            <w:r>
              <w:rPr>
                <w:rFonts w:ascii="Century Gothic" w:hAnsi="Century Gothic"/>
                <w:b/>
                <w:sz w:val="19"/>
                <w:szCs w:val="19"/>
              </w:rPr>
              <w:t>Horaires</w:t>
            </w:r>
          </w:p>
        </w:tc>
        <w:tc>
          <w:tcPr>
            <w:tcW w:w="5806" w:type="dxa"/>
          </w:tcPr>
          <w:p>
            <w:r>
              <w:rPr>
                <w:rFonts w:ascii="Century Gothic" w:hAnsi="Century Gothic"/>
                <w:sz w:val="17"/>
              </w:rPr>
              <w:t>Temps plein</w:t>
            </w:r>
          </w:p>
        </w:tc>
      </w:tr>
      <w:tr>
        <w:tc>
          <w:tcPr>
            <w:tcW w:w="3256" w:type="dxa"/>
          </w:tcPr>
          <w:p>
            <w:pPr>
              <w:rPr>
                <w:rFonts w:ascii="Century Gothic" w:hAnsi="Century Gothic"/>
                <w:b/>
                <w:sz w:val="19"/>
                <w:szCs w:val="19"/>
              </w:rPr>
            </w:pPr>
            <w:r>
              <w:rPr>
                <w:rFonts w:ascii="Century Gothic" w:hAnsi="Century Gothic"/>
                <w:b/>
                <w:sz w:val="19"/>
                <w:szCs w:val="19"/>
              </w:rPr>
              <w:t>Spécificités liées à la fonction</w:t>
            </w:r>
          </w:p>
        </w:tc>
        <w:tc>
          <w:tcPr>
            <w:tcW w:w="5806" w:type="dxa"/>
          </w:tcPr>
          <w:p>
            <w:r>
              <w:rPr>
                <w:rFonts w:ascii="Century Gothic" w:hAnsi="Century Gothic"/>
                <w:sz w:val="17"/>
              </w:rPr>
              <w:t>Investigations auprès de patients et de volontaires sains ; essais académiques et industriels</w:t>
            </w:r>
          </w:p>
        </w:tc>
      </w:tr>
      <w:tr>
        <w:tc>
          <w:tcPr>
            <w:tcW w:w="3256" w:type="dxa"/>
          </w:tcPr>
          <w:p>
            <w:pPr>
              <w:rPr>
                <w:rFonts w:ascii="Century Gothic" w:hAnsi="Century Gothic"/>
                <w:b/>
                <w:sz w:val="19"/>
                <w:szCs w:val="19"/>
              </w:rPr>
            </w:pPr>
            <w:r>
              <w:rPr>
                <w:rFonts w:ascii="Century Gothic" w:hAnsi="Century Gothic"/>
                <w:b/>
                <w:sz w:val="19"/>
                <w:szCs w:val="19"/>
              </w:rPr>
              <w:t xml:space="preserve">Poste à pourvoir à compter du </w:t>
            </w:r>
          </w:p>
        </w:tc>
        <w:tc>
          <w:tcPr>
            <w:tcW w:w="5806" w:type="dxa"/>
          </w:tcPr>
          <w:p>
            <w:r>
              <w:rPr>
                <w:rFonts w:ascii="Century Gothic" w:hAnsi="Century Gothic"/>
                <w:sz w:val="17"/>
              </w:rPr>
              <w:t>01/11/2026</w:t>
            </w:r>
          </w:p>
        </w:tc>
      </w:tr>
      <w:tr>
        <w:trPr>
          <w:trHeight w:val="58"/>
        </w:trPr>
        <w:tc>
          <w:tcPr>
            <w:tcW w:w="3256" w:type="dxa"/>
          </w:tcPr>
          <w:p>
            <w:pPr>
              <w:rPr>
                <w:rFonts w:ascii="Century Gothic" w:hAnsi="Century Gothic"/>
                <w:b/>
                <w:sz w:val="19"/>
                <w:szCs w:val="19"/>
              </w:rPr>
            </w:pPr>
            <w:r>
              <w:rPr>
                <w:rFonts w:ascii="Century Gothic" w:hAnsi="Century Gothic"/>
                <w:b/>
                <w:sz w:val="19"/>
                <w:szCs w:val="19"/>
              </w:rPr>
              <w:t>Candidatures à adresser</w:t>
            </w:r>
          </w:p>
        </w:tc>
        <w:tc>
          <w:tcPr>
            <w:tcW w:w="5806" w:type="dxa"/>
          </w:tcPr>
          <w:p>
            <w:r>
              <w:rPr>
                <w:rFonts w:ascii="Century Gothic" w:hAnsi="Century Gothic"/>
                <w:sz w:val="17"/>
              </w:rPr>
              <w:t>Dr Macarena CUENCA-MAIA – cheffe de service du CRC / Pr Tarek SHARSHAR – chef du pôle médico-technique</w:t>
            </w:r>
          </w:p>
        </w:tc>
      </w:tr>
    </w:tbl>
    <w:p>
      <w:pPr>
        <w:spacing w:after="0" w:line="240" w:lineRule="auto"/>
        <w:rPr>
          <w:rFonts w:ascii="Century Gothic" w:hAnsi="Century Gothic"/>
          <w:b/>
        </w:rPr>
      </w:pPr>
    </w:p>
    <w:p>
      <w:pPr>
        <w:spacing w:after="0" w:line="240" w:lineRule="auto"/>
        <w:rPr>
          <w:rFonts w:ascii="Century Gothic" w:eastAsia="Times New Roman" w:hAnsi="Century Gothic" w:cs="Times New Roman"/>
          <w:b/>
          <w:bCs/>
          <w:color w:val="008080"/>
          <w:sz w:val="20"/>
          <w:szCs w:val="20"/>
          <w:lang w:eastAsia="fr-FR"/>
        </w:rPr>
      </w:pPr>
      <w:r>
        <w:rPr>
          <w:rFonts w:ascii="Century Gothic" w:eastAsia="Times New Roman" w:hAnsi="Century Gothic" w:cs="Times New Roman"/>
          <w:b/>
          <w:bCs/>
          <w:color w:val="008080"/>
          <w:sz w:val="20"/>
          <w:szCs w:val="20"/>
          <w:lang w:eastAsia="fr-FR"/>
        </w:rPr>
        <w:t xml:space="preserve">VOUS SOUHAITEZ REJOINDRE UN ACTEUR HOSPITALIER MAJEUR DANS LA PRISE EN CHARGE EN PSYCHIATRIE ET NEUROSCIENCES ? </w:t>
      </w:r>
    </w:p>
    <w:p>
      <w:pPr>
        <w:spacing w:after="0" w:line="240" w:lineRule="auto"/>
        <w:jc w:val="both"/>
        <w:rPr>
          <w:rFonts w:ascii="Century Gothic" w:hAnsi="Century Gothic"/>
          <w:color w:val="555E5E"/>
        </w:rPr>
      </w:pPr>
      <w:r>
        <w:rPr>
          <w:rFonts w:ascii="Century Gothic" w:hAnsi="Century Gothic"/>
          <w:color w:val="555E5E"/>
        </w:rPr>
        <w:t xml:space="preserve">Le </w:t>
      </w:r>
      <w:hyperlink r:id="rId9" w:history="1">
        <w:r>
          <w:rPr>
            <w:rStyle w:val="Lienhypertexte"/>
            <w:rFonts w:ascii="Century Gothic" w:hAnsi="Century Gothic"/>
            <w:color w:val="555E5E"/>
          </w:rPr>
          <w:t>Groupe Hospitalier Universitaire Paris psychiatrie &amp; neurosciences</w:t>
        </w:r>
      </w:hyperlink>
      <w:r>
        <w:rPr>
          <w:rFonts w:ascii="Century Gothic" w:hAnsi="Century Gothic"/>
          <w:color w:val="555E5E"/>
        </w:rPr>
        <w:t xml:space="preserve"> est né le 1</w:t>
      </w:r>
      <w:r>
        <w:rPr>
          <w:rFonts w:ascii="Century Gothic" w:hAnsi="Century Gothic"/>
          <w:color w:val="555E5E"/>
          <w:vertAlign w:val="superscript"/>
        </w:rPr>
        <w:t>er</w:t>
      </w:r>
      <w:r>
        <w:rPr>
          <w:rFonts w:ascii="Century Gothic" w:hAnsi="Century Gothic"/>
          <w:color w:val="555E5E"/>
        </w:rPr>
        <w:t xml:space="preserve"> janvier 2019 des rapprochements des hôpitaux Sainte-Anne, Maison Blanche et Perray-Vaucluse.  Leader dans le soin, l’enseignement et la recherche portant sur les maladies mentales et le système nerveux, le GHU Paris emploie 5600 hospitaliers répartis dans 100 sites parisiens, ainsi que des unités à dimension médico-sociale dans le 91 et le 93. </w:t>
      </w:r>
    </w:p>
    <w:p>
      <w:pPr>
        <w:spacing w:after="0" w:line="240" w:lineRule="auto"/>
        <w:jc w:val="both"/>
        <w:rPr>
          <w:rStyle w:val="Lienhypertexte"/>
          <w:rFonts w:ascii="Century Gothic" w:hAnsi="Century Gothic"/>
          <w:color w:val="555E5E"/>
          <w:u w:val="none"/>
        </w:rPr>
      </w:pPr>
      <w:r>
        <w:rPr>
          <w:rFonts w:ascii="Century Gothic" w:hAnsi="Century Gothic"/>
          <w:color w:val="555E5E"/>
        </w:rPr>
        <w:t xml:space="preserve">Le GHU Paris assure la prise en charge de proximité, de recours et de spécialité des Parisiens dans toutes les disciplines associées à la santé mentale et au cerveau au sein de 170 structures réparties dans la capitale.  </w:t>
      </w:r>
      <w:hyperlink r:id="rId10" w:history="1">
        <w:r>
          <w:rPr>
            <w:rStyle w:val="Lienhypertexte"/>
            <w:rFonts w:ascii="Century Gothic" w:hAnsi="Century Gothic"/>
          </w:rPr>
          <w:t>2 ‘ chrono pour connaître le GHU Paris en images animées </w:t>
        </w:r>
      </w:hyperlink>
    </w:p>
    <w:p>
      <w:pPr>
        <w:spacing w:after="0" w:line="240" w:lineRule="auto"/>
        <w:jc w:val="both"/>
        <w:rPr>
          <w:rStyle w:val="Lienhypertexte"/>
          <w:rFonts w:ascii="Century Gothic" w:hAnsi="Century Gothic"/>
          <w:color w:val="555E5E"/>
        </w:rPr>
      </w:pPr>
      <w:hyperlink r:id="rId11" w:history="1">
        <w:r>
          <w:rPr>
            <w:rStyle w:val="Lienhypertexte"/>
            <w:rFonts w:ascii="Century Gothic" w:hAnsi="Century Gothic"/>
          </w:rPr>
          <w:t>www.ghu-paris.fr</w:t>
        </w:r>
      </w:hyperlink>
      <w:r>
        <w:rPr>
          <w:rStyle w:val="Lienhypertexte"/>
          <w:rFonts w:ascii="Century Gothic" w:hAnsi="Century Gothic"/>
          <w:color w:val="555E5E"/>
        </w:rPr>
        <w:t xml:space="preserve"> / LinkedIn </w:t>
      </w:r>
      <w:hyperlink r:id="rId12" w:history="1">
        <w:proofErr w:type="spellStart"/>
        <w:r>
          <w:rPr>
            <w:rStyle w:val="Lienhypertexte"/>
            <w:rFonts w:ascii="Century Gothic" w:hAnsi="Century Gothic"/>
          </w:rPr>
          <w:t>Ghu</w:t>
        </w:r>
        <w:proofErr w:type="spellEnd"/>
        <w:r>
          <w:rPr>
            <w:rStyle w:val="Lienhypertexte"/>
            <w:rFonts w:ascii="Century Gothic" w:hAnsi="Century Gothic"/>
          </w:rPr>
          <w:t xml:space="preserve"> Paris</w:t>
        </w:r>
      </w:hyperlink>
      <w:r>
        <w:rPr>
          <w:rStyle w:val="Lienhypertexte"/>
          <w:rFonts w:ascii="Century Gothic" w:hAnsi="Century Gothic"/>
          <w:color w:val="555E5E"/>
        </w:rPr>
        <w:t xml:space="preserve"> / Twitter @GhuParis</w:t>
      </w:r>
    </w:p>
    <w:p>
      <w:pPr>
        <w:spacing w:after="0" w:line="240" w:lineRule="auto"/>
        <w:jc w:val="both"/>
        <w:rPr>
          <w:rFonts w:ascii="Century Gothic" w:hAnsi="Century Gothic"/>
          <w:color w:val="555E5E"/>
        </w:rPr>
      </w:pPr>
      <w:r>
        <w:rPr>
          <w:rFonts w:ascii="Century Gothic" w:hAnsi="Century Gothic"/>
          <w:b/>
          <w:color w:val="555E5E"/>
        </w:rPr>
        <w:t>Siège</w:t>
      </w:r>
      <w:r>
        <w:rPr>
          <w:rFonts w:ascii="Century Gothic" w:hAnsi="Century Gothic"/>
          <w:color w:val="555E5E"/>
        </w:rPr>
        <w:t> : Site Sainte-Anne, 1 rue Cabanis 75014 Paris</w:t>
      </w:r>
    </w:p>
    <w:p>
      <w:pPr>
        <w:spacing w:after="0" w:line="240" w:lineRule="auto"/>
        <w:jc w:val="both"/>
        <w:rPr>
          <w:rFonts w:ascii="Century Gothic" w:hAnsi="Century Gothic"/>
          <w:color w:val="555E5E"/>
        </w:rPr>
      </w:pPr>
    </w:p>
    <w:p>
      <w:pPr>
        <w:spacing w:after="0" w:line="240" w:lineRule="auto"/>
        <w:rPr>
          <w:rFonts w:ascii="Century Gothic" w:eastAsia="Times New Roman" w:hAnsi="Century Gothic" w:cs="Times New Roman"/>
          <w:b/>
          <w:bCs/>
          <w:sz w:val="8"/>
          <w:szCs w:val="8"/>
          <w:lang w:eastAsia="fr-FR"/>
        </w:rPr>
      </w:pPr>
    </w:p>
    <w:p>
      <w:pPr>
        <w:spacing w:after="0" w:line="240" w:lineRule="auto"/>
        <w:rPr>
          <w:rFonts w:ascii="Century Gothic" w:eastAsia="Times New Roman" w:hAnsi="Century Gothic" w:cs="Times New Roman"/>
          <w:b/>
          <w:bCs/>
          <w:color w:val="008080"/>
          <w:sz w:val="20"/>
          <w:szCs w:val="20"/>
          <w:lang w:eastAsia="fr-FR"/>
        </w:rPr>
      </w:pPr>
      <w:r>
        <w:rPr>
          <w:rFonts w:ascii="Century Gothic" w:eastAsia="Times New Roman" w:hAnsi="Century Gothic" w:cs="Times New Roman"/>
          <w:b/>
          <w:bCs/>
          <w:color w:val="008080"/>
          <w:sz w:val="20"/>
          <w:szCs w:val="20"/>
          <w:lang w:eastAsia="fr-FR"/>
        </w:rPr>
        <w:t>DESCRIPTION DE LA STRUCTURE</w:t>
      </w:r>
    </w:p>
    <w:p>
      <w:pPr>
        <w:pStyle w:val="En-tte"/>
        <w:tabs>
          <w:tab w:val="left" w:leader="dot" w:pos="9072"/>
        </w:tabs>
        <w:jc w:val="both"/>
        <w:rPr>
          <w:rFonts w:ascii="Century Gothic" w:hAnsi="Century Gothic"/>
          <w:color w:val="555E5E"/>
          <w:sz w:val="16"/>
          <w:szCs w:val="16"/>
        </w:rPr>
      </w:pPr>
    </w:p>
    <w:p>
      <w:pPr>
        <w:shd w:val="clear" w:color="auto" w:fill="FFFFFF"/>
        <w:spacing w:after="0" w:line="240" w:lineRule="auto"/>
        <w:rPr>
          <w:rFonts w:ascii="Century Gothic" w:eastAsia="Times New Roman" w:hAnsi="Century Gothic" w:cs="Arial"/>
          <w:color w:val="0070C0"/>
          <w:sz w:val="24"/>
          <w:szCs w:val="24"/>
          <w:lang w:eastAsia="fr-FR"/>
        </w:rPr>
      </w:pPr>
      <w:r>
        <w:rPr>
          <w:rFonts w:ascii="Century Gothic" w:eastAsia="Times New Roman" w:hAnsi="Century Gothic" w:cs="Arial"/>
          <w:b/>
          <w:bCs/>
          <w:color w:val="0070C0"/>
          <w:sz w:val="24"/>
          <w:szCs w:val="24"/>
          <w:lang w:eastAsia="fr-FR"/>
        </w:rPr>
        <w:t>Le Centre de Recherche Clinique (CRC) :</w:t>
      </w:r>
    </w:p>
    <w:p>
      <w:pPr>
        <w:numPr>
          <w:ilvl w:val="0"/>
          <w:numId w:val="30"/>
        </w:numPr>
        <w:shd w:val="clear" w:color="auto" w:fill="FFFFFF"/>
        <w:spacing w:after="0" w:line="240" w:lineRule="auto"/>
        <w:rPr>
          <w:rFonts w:ascii="Century Gothic" w:hAnsi="Century Gothic"/>
          <w:sz w:val="20"/>
        </w:rPr>
      </w:pPr>
      <w:r>
        <w:rPr>
          <w:rFonts w:ascii="Century Gothic" w:hAnsi="Century Gothic"/>
          <w:sz w:val="20"/>
        </w:rPr>
        <w:t xml:space="preserve">Met à disposition des moyens pour optimiser la recherche </w:t>
      </w:r>
      <w:proofErr w:type="gramStart"/>
      <w:r>
        <w:rPr>
          <w:rFonts w:ascii="Century Gothic" w:hAnsi="Century Gothic"/>
          <w:sz w:val="20"/>
        </w:rPr>
        <w:t>clinique;</w:t>
      </w:r>
      <w:proofErr w:type="gramEnd"/>
    </w:p>
    <w:p>
      <w:pPr>
        <w:numPr>
          <w:ilvl w:val="0"/>
          <w:numId w:val="30"/>
        </w:numPr>
        <w:shd w:val="clear" w:color="auto" w:fill="FFFFFF"/>
        <w:spacing w:after="0" w:line="240" w:lineRule="auto"/>
        <w:rPr>
          <w:rFonts w:ascii="Century Gothic" w:hAnsi="Century Gothic"/>
          <w:sz w:val="20"/>
        </w:rPr>
      </w:pPr>
      <w:r>
        <w:rPr>
          <w:rFonts w:ascii="Century Gothic" w:hAnsi="Century Gothic"/>
          <w:sz w:val="20"/>
        </w:rPr>
        <w:t xml:space="preserve">Accélère le recrutement des sujets, qu’il s’agisse de patients ou de volontaires </w:t>
      </w:r>
      <w:proofErr w:type="gramStart"/>
      <w:r>
        <w:rPr>
          <w:rFonts w:ascii="Century Gothic" w:hAnsi="Century Gothic"/>
          <w:sz w:val="20"/>
        </w:rPr>
        <w:t>sains;</w:t>
      </w:r>
      <w:proofErr w:type="gramEnd"/>
    </w:p>
    <w:p>
      <w:pPr>
        <w:numPr>
          <w:ilvl w:val="0"/>
          <w:numId w:val="30"/>
        </w:numPr>
        <w:shd w:val="clear" w:color="auto" w:fill="FFFFFF"/>
        <w:spacing w:after="0" w:line="240" w:lineRule="auto"/>
        <w:rPr>
          <w:rFonts w:ascii="Century Gothic" w:hAnsi="Century Gothic"/>
          <w:sz w:val="20"/>
        </w:rPr>
      </w:pPr>
      <w:r>
        <w:rPr>
          <w:rFonts w:ascii="Century Gothic" w:hAnsi="Century Gothic"/>
          <w:sz w:val="20"/>
        </w:rPr>
        <w:t>Améliore la qualité des essais cliniques.</w:t>
      </w:r>
    </w:p>
    <w:p>
      <w:pPr>
        <w:shd w:val="clear" w:color="auto" w:fill="FFFFFF"/>
        <w:spacing w:after="0" w:line="240" w:lineRule="auto"/>
        <w:rPr>
          <w:rFonts w:ascii="Century Gothic" w:eastAsia="Times New Roman" w:hAnsi="Century Gothic" w:cs="Arial"/>
          <w:color w:val="000000"/>
          <w:lang w:eastAsia="fr-FR"/>
        </w:rPr>
      </w:pPr>
      <w:r>
        <w:rPr>
          <w:rFonts w:ascii="Century Gothic" w:eastAsia="Times New Roman" w:hAnsi="Century Gothic" w:cs="Arial"/>
          <w:b/>
          <w:bCs/>
          <w:color w:val="000000"/>
          <w:lang w:eastAsia="fr-FR"/>
        </w:rPr>
        <w:t>Le CRC est une plateforme de soutien à l’investigation clinique</w:t>
      </w:r>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Réalisation des projets de recherche </w:t>
      </w:r>
      <w:proofErr w:type="gramStart"/>
      <w:r>
        <w:rPr>
          <w:rFonts w:ascii="Century Gothic" w:hAnsi="Century Gothic"/>
          <w:sz w:val="20"/>
        </w:rPr>
        <w:t>clinique;</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Mise en place de procédures </w:t>
      </w:r>
      <w:proofErr w:type="gramStart"/>
      <w:r>
        <w:rPr>
          <w:rFonts w:ascii="Century Gothic" w:hAnsi="Century Gothic"/>
          <w:sz w:val="20"/>
        </w:rPr>
        <w:t>opérationnelles;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Respect des bonnes pratiques </w:t>
      </w:r>
      <w:proofErr w:type="gramStart"/>
      <w:r>
        <w:rPr>
          <w:rFonts w:ascii="Century Gothic" w:hAnsi="Century Gothic"/>
          <w:sz w:val="20"/>
        </w:rPr>
        <w:t>cliniques;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Support méthodologique sur les outils </w:t>
      </w:r>
      <w:proofErr w:type="gramStart"/>
      <w:r>
        <w:rPr>
          <w:rFonts w:ascii="Century Gothic" w:hAnsi="Century Gothic"/>
          <w:sz w:val="20"/>
        </w:rPr>
        <w:t>d’exploration;</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lastRenderedPageBreak/>
        <w:t xml:space="preserve">Inclusion des </w:t>
      </w:r>
      <w:proofErr w:type="gramStart"/>
      <w:r>
        <w:rPr>
          <w:rFonts w:ascii="Century Gothic" w:hAnsi="Century Gothic"/>
          <w:sz w:val="20"/>
        </w:rPr>
        <w:t>sujets;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Actes médicaux et </w:t>
      </w:r>
      <w:proofErr w:type="gramStart"/>
      <w:r>
        <w:rPr>
          <w:rFonts w:ascii="Century Gothic" w:hAnsi="Century Gothic"/>
          <w:sz w:val="20"/>
        </w:rPr>
        <w:t>paramédicaux;</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Acquisition de </w:t>
      </w:r>
      <w:proofErr w:type="gramStart"/>
      <w:r>
        <w:rPr>
          <w:rFonts w:ascii="Century Gothic" w:hAnsi="Century Gothic"/>
          <w:sz w:val="20"/>
        </w:rPr>
        <w:t>données;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Collecte </w:t>
      </w:r>
      <w:proofErr w:type="gramStart"/>
      <w:r>
        <w:rPr>
          <w:rFonts w:ascii="Century Gothic" w:hAnsi="Century Gothic"/>
          <w:sz w:val="20"/>
        </w:rPr>
        <w:t>d’échantillons;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 xml:space="preserve">Traitements et administration des </w:t>
      </w:r>
      <w:proofErr w:type="gramStart"/>
      <w:r>
        <w:rPr>
          <w:rFonts w:ascii="Century Gothic" w:hAnsi="Century Gothic"/>
          <w:sz w:val="20"/>
        </w:rPr>
        <w:t>produits;</w:t>
      </w:r>
      <w:proofErr w:type="gramEnd"/>
    </w:p>
    <w:p>
      <w:pPr>
        <w:numPr>
          <w:ilvl w:val="0"/>
          <w:numId w:val="31"/>
        </w:numPr>
        <w:shd w:val="clear" w:color="auto" w:fill="FFFFFF"/>
        <w:spacing w:after="0" w:line="240" w:lineRule="auto"/>
        <w:rPr>
          <w:rFonts w:ascii="Century Gothic" w:hAnsi="Century Gothic"/>
          <w:sz w:val="20"/>
        </w:rPr>
      </w:pPr>
      <w:r>
        <w:rPr>
          <w:rFonts w:ascii="Century Gothic" w:hAnsi="Century Gothic"/>
          <w:sz w:val="20"/>
        </w:rPr>
        <w:t>Suivi longitudinal.</w:t>
      </w:r>
    </w:p>
    <w:p>
      <w:pPr>
        <w:shd w:val="clear" w:color="auto" w:fill="FFFFFF"/>
        <w:spacing w:after="0" w:line="240" w:lineRule="auto"/>
        <w:rPr>
          <w:rFonts w:ascii="Century Gothic" w:eastAsia="Times New Roman" w:hAnsi="Century Gothic" w:cs="Arial"/>
          <w:color w:val="000000"/>
          <w:lang w:eastAsia="fr-FR"/>
        </w:rPr>
      </w:pPr>
      <w:r>
        <w:rPr>
          <w:rFonts w:ascii="Century Gothic" w:eastAsia="Times New Roman" w:hAnsi="Century Gothic" w:cs="Arial"/>
          <w:b/>
          <w:bCs/>
          <w:color w:val="000000"/>
          <w:lang w:eastAsia="fr-FR"/>
        </w:rPr>
        <w:t xml:space="preserve">Le CRC est composé d’une équipe de professionnels formés à la recherche clinique </w:t>
      </w:r>
    </w:p>
    <w:p>
      <w:pPr>
        <w:numPr>
          <w:ilvl w:val="0"/>
          <w:numId w:val="32"/>
        </w:numPr>
        <w:shd w:val="clear" w:color="auto" w:fill="FFFFFF"/>
        <w:spacing w:after="0" w:line="240" w:lineRule="auto"/>
        <w:rPr>
          <w:rFonts w:ascii="Century Gothic" w:hAnsi="Century Gothic"/>
          <w:sz w:val="20"/>
        </w:rPr>
      </w:pPr>
      <w:r>
        <w:rPr>
          <w:rFonts w:ascii="Century Gothic" w:hAnsi="Century Gothic"/>
          <w:sz w:val="20"/>
        </w:rPr>
        <w:t>Infirmiers/Infirmières de recherche clinique (IRC</w:t>
      </w:r>
      <w:proofErr w:type="gramStart"/>
      <w:r>
        <w:rPr>
          <w:rFonts w:ascii="Century Gothic" w:hAnsi="Century Gothic"/>
          <w:sz w:val="20"/>
        </w:rPr>
        <w:t>);</w:t>
      </w:r>
      <w:proofErr w:type="gramEnd"/>
    </w:p>
    <w:p>
      <w:pPr>
        <w:numPr>
          <w:ilvl w:val="0"/>
          <w:numId w:val="32"/>
        </w:numPr>
        <w:shd w:val="clear" w:color="auto" w:fill="FFFFFF"/>
        <w:spacing w:after="0" w:line="240" w:lineRule="auto"/>
        <w:rPr>
          <w:rFonts w:ascii="Century Gothic" w:hAnsi="Century Gothic"/>
          <w:sz w:val="20"/>
        </w:rPr>
      </w:pPr>
      <w:r>
        <w:rPr>
          <w:rFonts w:ascii="Century Gothic" w:hAnsi="Century Gothic"/>
          <w:sz w:val="20"/>
        </w:rPr>
        <w:t xml:space="preserve">Manipulatrice </w:t>
      </w:r>
      <w:proofErr w:type="gramStart"/>
      <w:r>
        <w:rPr>
          <w:rFonts w:ascii="Century Gothic" w:hAnsi="Century Gothic"/>
          <w:sz w:val="20"/>
        </w:rPr>
        <w:t>radio;</w:t>
      </w:r>
      <w:proofErr w:type="gramEnd"/>
    </w:p>
    <w:p>
      <w:pPr>
        <w:numPr>
          <w:ilvl w:val="0"/>
          <w:numId w:val="32"/>
        </w:numPr>
        <w:shd w:val="clear" w:color="auto" w:fill="FFFFFF"/>
        <w:spacing w:after="0" w:line="240" w:lineRule="auto"/>
        <w:rPr>
          <w:rFonts w:ascii="Century Gothic" w:eastAsia="Times New Roman" w:hAnsi="Century Gothic" w:cs="Arial"/>
          <w:color w:val="000000"/>
          <w:lang w:eastAsia="fr-FR"/>
        </w:rPr>
      </w:pPr>
      <w:r>
        <w:rPr>
          <w:rFonts w:ascii="Century Gothic" w:hAnsi="Century Gothic"/>
          <w:sz w:val="20"/>
        </w:rPr>
        <w:t xml:space="preserve">Techniciens/techniciennes d’études cliniques (TEC) </w:t>
      </w:r>
    </w:p>
    <w:p>
      <w:pPr>
        <w:numPr>
          <w:ilvl w:val="0"/>
          <w:numId w:val="32"/>
        </w:numPr>
        <w:shd w:val="clear" w:color="auto" w:fill="FFFFFF"/>
        <w:spacing w:after="0" w:line="240" w:lineRule="auto"/>
        <w:rPr>
          <w:rFonts w:ascii="Century Gothic" w:eastAsia="Times New Roman" w:hAnsi="Century Gothic" w:cs="Arial"/>
          <w:color w:val="000000"/>
          <w:lang w:eastAsia="fr-FR"/>
        </w:rPr>
      </w:pPr>
      <w:r>
        <w:rPr>
          <w:rFonts w:ascii="Century Gothic" w:hAnsi="Century Gothic"/>
          <w:sz w:val="20"/>
        </w:rPr>
        <w:t>Responsable qualité.</w:t>
      </w:r>
    </w:p>
    <w:p>
      <w:pPr>
        <w:numPr>
          <w:ilvl w:val="0"/>
          <w:numId w:val="32"/>
        </w:numPr>
        <w:shd w:val="clear" w:color="auto" w:fill="FFFFFF"/>
        <w:spacing w:after="0" w:line="240" w:lineRule="auto"/>
        <w:rPr>
          <w:rFonts w:ascii="Century Gothic" w:eastAsia="Times New Roman" w:hAnsi="Century Gothic" w:cs="Arial"/>
          <w:color w:val="000000"/>
          <w:lang w:eastAsia="fr-FR"/>
        </w:rPr>
      </w:pPr>
      <w:r>
        <w:rPr>
          <w:rFonts w:ascii="Century Gothic" w:hAnsi="Century Gothic"/>
          <w:sz w:val="20"/>
        </w:rPr>
        <w:t>Secrétaire</w:t>
      </w:r>
    </w:p>
    <w:p>
      <w:pPr>
        <w:shd w:val="clear" w:color="auto" w:fill="FFFFFF"/>
        <w:spacing w:after="0" w:line="240" w:lineRule="auto"/>
        <w:rPr>
          <w:rFonts w:ascii="Century Gothic" w:eastAsia="Times New Roman" w:hAnsi="Century Gothic" w:cs="Arial"/>
          <w:color w:val="000000"/>
          <w:lang w:eastAsia="fr-FR"/>
        </w:rPr>
      </w:pPr>
      <w:r>
        <w:rPr>
          <w:rFonts w:ascii="Century Gothic" w:eastAsia="Times New Roman" w:hAnsi="Century Gothic" w:cs="Arial"/>
          <w:b/>
          <w:bCs/>
          <w:color w:val="000000"/>
          <w:lang w:eastAsia="fr-FR"/>
        </w:rPr>
        <w:t>Le CRC est un lieu de recherche impliquant la personne humaine (LRIPH) autorisé par l’ARS et destiné à l’exploration du cerveau :</w:t>
      </w:r>
    </w:p>
    <w:p>
      <w:pPr>
        <w:numPr>
          <w:ilvl w:val="0"/>
          <w:numId w:val="33"/>
        </w:numPr>
        <w:shd w:val="clear" w:color="auto" w:fill="FFFFFF"/>
        <w:spacing w:after="0" w:line="240" w:lineRule="auto"/>
        <w:rPr>
          <w:rFonts w:ascii="Century Gothic" w:hAnsi="Century Gothic"/>
          <w:sz w:val="20"/>
        </w:rPr>
      </w:pPr>
      <w:r>
        <w:rPr>
          <w:rFonts w:ascii="Century Gothic" w:hAnsi="Century Gothic"/>
          <w:sz w:val="20"/>
        </w:rPr>
        <w:t>Salles d’examen ;</w:t>
      </w:r>
    </w:p>
    <w:p>
      <w:pPr>
        <w:numPr>
          <w:ilvl w:val="0"/>
          <w:numId w:val="33"/>
        </w:numPr>
        <w:shd w:val="clear" w:color="auto" w:fill="FFFFFF"/>
        <w:spacing w:after="0" w:line="240" w:lineRule="auto"/>
        <w:rPr>
          <w:rFonts w:ascii="Century Gothic" w:hAnsi="Century Gothic"/>
          <w:sz w:val="20"/>
        </w:rPr>
      </w:pPr>
      <w:r>
        <w:rPr>
          <w:rFonts w:ascii="Century Gothic" w:hAnsi="Century Gothic"/>
          <w:sz w:val="20"/>
        </w:rPr>
        <w:t>Salles de soin et de prélèvement ;</w:t>
      </w:r>
    </w:p>
    <w:p>
      <w:pPr>
        <w:numPr>
          <w:ilvl w:val="0"/>
          <w:numId w:val="33"/>
        </w:numPr>
        <w:shd w:val="clear" w:color="auto" w:fill="FFFFFF"/>
        <w:spacing w:after="0" w:line="240" w:lineRule="auto"/>
        <w:rPr>
          <w:rFonts w:ascii="Century Gothic" w:hAnsi="Century Gothic"/>
          <w:sz w:val="20"/>
        </w:rPr>
      </w:pPr>
      <w:r>
        <w:rPr>
          <w:rFonts w:ascii="Century Gothic" w:hAnsi="Century Gothic"/>
          <w:sz w:val="20"/>
        </w:rPr>
        <w:t>Salle de restauration (accueil sur la journée entière</w:t>
      </w:r>
      <w:proofErr w:type="gramStart"/>
      <w:r>
        <w:rPr>
          <w:rFonts w:ascii="Century Gothic" w:hAnsi="Century Gothic"/>
          <w:sz w:val="20"/>
        </w:rPr>
        <w:t>);</w:t>
      </w:r>
      <w:proofErr w:type="gramEnd"/>
    </w:p>
    <w:p>
      <w:pPr>
        <w:numPr>
          <w:ilvl w:val="0"/>
          <w:numId w:val="33"/>
        </w:numPr>
        <w:shd w:val="clear" w:color="auto" w:fill="FFFFFF"/>
        <w:spacing w:after="0" w:line="240" w:lineRule="auto"/>
        <w:rPr>
          <w:rFonts w:ascii="Century Gothic" w:hAnsi="Century Gothic"/>
          <w:sz w:val="20"/>
        </w:rPr>
      </w:pPr>
      <w:r>
        <w:rPr>
          <w:rFonts w:ascii="Century Gothic" w:hAnsi="Century Gothic"/>
          <w:sz w:val="20"/>
        </w:rPr>
        <w:t xml:space="preserve">Salles de tests : cognition, </w:t>
      </w:r>
      <w:proofErr w:type="spellStart"/>
      <w:r>
        <w:rPr>
          <w:rFonts w:ascii="Century Gothic" w:hAnsi="Century Gothic"/>
          <w:sz w:val="20"/>
        </w:rPr>
        <w:t>sensori</w:t>
      </w:r>
      <w:proofErr w:type="spellEnd"/>
      <w:r>
        <w:rPr>
          <w:rFonts w:ascii="Century Gothic" w:hAnsi="Century Gothic"/>
          <w:sz w:val="20"/>
        </w:rPr>
        <w:t>-motricité, psychopathologie, etc.</w:t>
      </w:r>
    </w:p>
    <w:p>
      <w:pPr>
        <w:numPr>
          <w:ilvl w:val="0"/>
          <w:numId w:val="33"/>
        </w:numPr>
        <w:shd w:val="clear" w:color="auto" w:fill="FFFFFF"/>
        <w:spacing w:after="0" w:line="240" w:lineRule="auto"/>
        <w:rPr>
          <w:rFonts w:ascii="Century Gothic" w:hAnsi="Century Gothic"/>
          <w:sz w:val="20"/>
        </w:rPr>
      </w:pPr>
      <w:r>
        <w:rPr>
          <w:rFonts w:ascii="Century Gothic" w:hAnsi="Century Gothic"/>
          <w:sz w:val="20"/>
        </w:rPr>
        <w:t>Salle de neurostimulation (TMS et TDCS)</w:t>
      </w:r>
    </w:p>
    <w:p>
      <w:pPr>
        <w:numPr>
          <w:ilvl w:val="0"/>
          <w:numId w:val="33"/>
        </w:numPr>
        <w:shd w:val="clear" w:color="auto" w:fill="FFFFFF"/>
        <w:spacing w:after="0" w:line="240" w:lineRule="auto"/>
        <w:rPr>
          <w:rFonts w:ascii="Century Gothic" w:eastAsia="Times New Roman" w:hAnsi="Century Gothic" w:cs="Arial"/>
          <w:color w:val="000000"/>
          <w:lang w:eastAsia="fr-FR"/>
        </w:rPr>
      </w:pPr>
      <w:r>
        <w:rPr>
          <w:rFonts w:ascii="Century Gothic" w:hAnsi="Century Gothic"/>
          <w:sz w:val="20"/>
        </w:rPr>
        <w:t>Salle avec mock-IRM pour entraînement.</w:t>
      </w:r>
    </w:p>
    <w:p>
      <w:pPr>
        <w:shd w:val="clear" w:color="auto" w:fill="FFFFFF"/>
        <w:spacing w:after="0" w:line="240" w:lineRule="auto"/>
        <w:rPr>
          <w:rFonts w:ascii="Century Gothic" w:eastAsia="Times New Roman" w:hAnsi="Century Gothic" w:cs="Arial"/>
          <w:color w:val="000000"/>
          <w:lang w:eastAsia="fr-FR"/>
        </w:rPr>
      </w:pPr>
      <w:r>
        <w:rPr>
          <w:rFonts w:ascii="Century Gothic" w:hAnsi="Century Gothic"/>
          <w:sz w:val="20"/>
        </w:rPr>
        <w:t>Le CRC est impliqué dans une quarantaine d’études cliniques académiques et industrielles.</w:t>
      </w:r>
    </w:p>
    <w:p>
      <w:pPr>
        <w:pStyle w:val="En-tte"/>
        <w:tabs>
          <w:tab w:val="left" w:leader="dot" w:pos="9072"/>
        </w:tabs>
        <w:jc w:val="both"/>
        <w:rPr>
          <w:rFonts w:ascii="Century Gothic" w:hAnsi="Century Gothic"/>
          <w:color w:val="555E5E"/>
        </w:rPr>
      </w:pPr>
    </w:p>
    <w:p>
      <w:pPr>
        <w:spacing w:after="0" w:line="240" w:lineRule="auto"/>
        <w:rPr>
          <w:rFonts w:ascii="Century Gothic" w:eastAsia="Times New Roman" w:hAnsi="Century Gothic" w:cs="Times New Roman"/>
          <w:b/>
          <w:bCs/>
          <w:color w:val="008080"/>
          <w:sz w:val="20"/>
          <w:szCs w:val="20"/>
          <w:lang w:eastAsia="fr-FR"/>
        </w:rPr>
      </w:pPr>
      <w:r>
        <w:rPr>
          <w:rFonts w:ascii="Century Gothic" w:eastAsia="Times New Roman" w:hAnsi="Century Gothic" w:cs="Times New Roman"/>
          <w:b/>
          <w:bCs/>
          <w:color w:val="008080"/>
          <w:sz w:val="20"/>
          <w:szCs w:val="20"/>
          <w:lang w:eastAsia="fr-FR"/>
        </w:rPr>
        <w:t>DESCRIPTION DU POSTE</w:t>
      </w:r>
    </w:p>
    <w:p>
      <w:pPr>
        <w:spacing w:after="20" w:line="240" w:lineRule="auto"/>
        <w:jc w:val="both"/>
      </w:pPr>
      <w:r>
        <w:rPr>
          <w:rFonts w:ascii="Century Gothic" w:hAnsi="Century Gothic"/>
          <w:sz w:val="20"/>
        </w:rPr>
        <w:t>Le médecin investigateur du CRC exerce une activité médicale de recherche clinique à temps plein. Il intervient au plus près des participants et des protocoles, en collaboration avec les médecins porteurs ou investigateurs de chaque projet, afin de garantir la qualité des inclusions, la fiabilité des évaluations et la sécurité des participants tout au long de l’étude.</w:t>
      </w:r>
    </w:p>
    <w:p>
      <w:pPr>
        <w:spacing w:after="20" w:line="240" w:lineRule="auto"/>
        <w:jc w:val="both"/>
      </w:pPr>
      <w:r>
        <w:rPr>
          <w:rFonts w:ascii="Century Gothic" w:hAnsi="Century Gothic"/>
          <w:sz w:val="20"/>
        </w:rPr>
        <w:t>Le poste comporte une part importante d’inclusions et d’évaluations de volontaires sains, ainsi que de patients participant à des études en psychiatrie et en neurologie. Il s’adresse particulièrement à un médecin récemment diplômé souhaitant acquérir, pendant 2 à 3 ans, une expérience solide et très opérationnelle de la recherche clinique hospitalière.</w:t>
      </w:r>
    </w:p>
    <w:p>
      <w:pPr>
        <w:keepNext/>
        <w:spacing w:before="80" w:after="20" w:line="240" w:lineRule="auto"/>
      </w:pPr>
      <w:r>
        <w:rPr>
          <w:rFonts w:ascii="Century Gothic" w:hAnsi="Century Gothic"/>
          <w:b/>
          <w:color w:val="0070C0"/>
          <w:sz w:val="20"/>
        </w:rPr>
        <w:t>Positionnement du poste</w:t>
      </w:r>
    </w:p>
    <w:p>
      <w:pPr>
        <w:spacing w:after="20" w:line="240" w:lineRule="auto"/>
        <w:jc w:val="both"/>
      </w:pPr>
      <w:r>
        <w:rPr>
          <w:rFonts w:ascii="Century Gothic" w:hAnsi="Century Gothic"/>
          <w:sz w:val="20"/>
        </w:rPr>
        <w:t>Le médecin investigateur est rattaché au chef de service du CRC et au chef du pôle médico-technique. Pour chaque étude, il travaille en lien étroit avec le médecin porteur du projet et/ou l’investigateur responsable, dans le cadre des responsabilités et délégations prévues par le protocole.</w:t>
      </w:r>
    </w:p>
    <w:p>
      <w:pPr>
        <w:spacing w:after="20" w:line="240" w:lineRule="auto"/>
        <w:jc w:val="both"/>
      </w:pPr>
      <w:r>
        <w:rPr>
          <w:rFonts w:ascii="Century Gothic" w:hAnsi="Century Gothic"/>
          <w:sz w:val="20"/>
        </w:rPr>
        <w:t>Le pilotage stratégique du CRC, l’acceptation institutionnelle des études, le suivi financier, la coordination générale de la plateforme et sa représentation dans les instances ne relèvent que du chef de service. Le médecin investigateur contribue à la mise en œuvre opérationnelle et scientifique des projets, sans responsabilité de direction du CRC.</w:t>
      </w:r>
    </w:p>
    <w:p>
      <w:pPr>
        <w:keepNext/>
        <w:spacing w:before="80" w:after="20" w:line="240" w:lineRule="auto"/>
      </w:pPr>
      <w:r>
        <w:rPr>
          <w:rFonts w:ascii="Century Gothic" w:hAnsi="Century Gothic"/>
          <w:b/>
          <w:color w:val="0070C0"/>
          <w:sz w:val="20"/>
        </w:rPr>
        <w:t>Liaisons fonctionnelles</w:t>
      </w:r>
    </w:p>
    <w:p>
      <w:pPr>
        <w:spacing w:after="10" w:line="235" w:lineRule="auto"/>
        <w:ind w:left="312" w:hanging="181"/>
      </w:pPr>
      <w:r>
        <w:rPr>
          <w:rFonts w:ascii="Century Gothic" w:hAnsi="Century Gothic"/>
          <w:sz w:val="19"/>
        </w:rPr>
        <w:t>• Médecins porteurs de projets, investigateurs principaux et co-investigateurs du GHU Paris ;</w:t>
      </w:r>
    </w:p>
    <w:p>
      <w:pPr>
        <w:spacing w:after="10" w:line="235" w:lineRule="auto"/>
        <w:ind w:left="312" w:hanging="181"/>
      </w:pPr>
      <w:r>
        <w:rPr>
          <w:rFonts w:ascii="Century Gothic" w:hAnsi="Century Gothic"/>
          <w:sz w:val="19"/>
        </w:rPr>
        <w:t>• Équipe du CRC : infirmiers/infirmières de recherche clinique, TEC/ARC, manipulateurs/manipulatrices, techniciens et responsable qualité ;</w:t>
      </w:r>
    </w:p>
    <w:p>
      <w:pPr>
        <w:spacing w:after="10" w:line="235" w:lineRule="auto"/>
        <w:ind w:left="312" w:hanging="181"/>
      </w:pPr>
      <w:r>
        <w:rPr>
          <w:rFonts w:ascii="Century Gothic" w:hAnsi="Century Gothic"/>
          <w:sz w:val="19"/>
        </w:rPr>
        <w:t>• DRCI et direction de la recherche ;</w:t>
      </w:r>
    </w:p>
    <w:p>
      <w:pPr>
        <w:spacing w:after="10" w:line="235" w:lineRule="auto"/>
        <w:ind w:left="312" w:hanging="181"/>
      </w:pPr>
      <w:r>
        <w:rPr>
          <w:rFonts w:ascii="Century Gothic" w:hAnsi="Century Gothic"/>
          <w:sz w:val="19"/>
        </w:rPr>
        <w:t>• CIREN et autres plateformes techniques et de recherche du GHU Paris ;</w:t>
      </w:r>
    </w:p>
    <w:p>
      <w:pPr>
        <w:spacing w:after="10" w:line="235" w:lineRule="auto"/>
        <w:ind w:left="312" w:hanging="181"/>
      </w:pPr>
      <w:r>
        <w:rPr>
          <w:rFonts w:ascii="Century Gothic" w:hAnsi="Century Gothic"/>
          <w:sz w:val="19"/>
        </w:rPr>
        <w:t>• Promoteurs académiques et industriels, ARC moniteurs et partenaires extérieurs.</w:t>
      </w:r>
    </w:p>
    <w:p>
      <w:pPr>
        <w:keepNext/>
        <w:spacing w:before="140" w:after="40" w:line="240" w:lineRule="auto"/>
      </w:pPr>
      <w:r>
        <w:rPr>
          <w:rFonts w:ascii="Century Gothic" w:hAnsi="Century Gothic"/>
          <w:b/>
          <w:color w:val="008080"/>
          <w:sz w:val="19"/>
        </w:rPr>
        <w:lastRenderedPageBreak/>
        <w:t>MISSIONS</w:t>
      </w:r>
    </w:p>
    <w:p>
      <w:pPr>
        <w:keepNext/>
        <w:spacing w:before="80" w:after="20" w:line="240" w:lineRule="auto"/>
      </w:pPr>
      <w:r>
        <w:rPr>
          <w:rFonts w:ascii="Century Gothic" w:hAnsi="Century Gothic"/>
          <w:b/>
          <w:color w:val="0070C0"/>
          <w:sz w:val="20"/>
        </w:rPr>
        <w:t>1. Investigation clinique et sécurité des participants</w:t>
      </w:r>
    </w:p>
    <w:p>
      <w:pPr>
        <w:spacing w:after="10" w:line="235" w:lineRule="auto"/>
        <w:ind w:left="312" w:hanging="181"/>
      </w:pPr>
      <w:r>
        <w:rPr>
          <w:rFonts w:ascii="Century Gothic" w:hAnsi="Century Gothic"/>
          <w:sz w:val="19"/>
        </w:rPr>
        <w:t>• Prendre connaissance des protocoles, critères d’éligibilité, procédures et plans de surveillance des études confiées au CRC ;</w:t>
      </w:r>
    </w:p>
    <w:p>
      <w:pPr>
        <w:spacing w:after="10" w:line="235" w:lineRule="auto"/>
        <w:ind w:left="312" w:hanging="181"/>
      </w:pPr>
      <w:r>
        <w:rPr>
          <w:rFonts w:ascii="Century Gothic" w:hAnsi="Century Gothic"/>
          <w:sz w:val="19"/>
        </w:rPr>
        <w:t>• Participer au repérage, à la pré-sélection et à l’inclusion des participants, avec une implication particulière dans le recrutement de volontaires sains ;</w:t>
      </w:r>
    </w:p>
    <w:p>
      <w:pPr>
        <w:spacing w:after="10" w:line="235" w:lineRule="auto"/>
        <w:ind w:left="312" w:hanging="181"/>
      </w:pPr>
      <w:r>
        <w:rPr>
          <w:rFonts w:ascii="Century Gothic" w:hAnsi="Century Gothic"/>
          <w:sz w:val="19"/>
        </w:rPr>
        <w:t>• Informer les participants et participer au processus de consentement selon les responsabilités prévues par l’étude ;</w:t>
      </w:r>
    </w:p>
    <w:p>
      <w:pPr>
        <w:spacing w:after="10" w:line="235" w:lineRule="auto"/>
        <w:ind w:left="312" w:hanging="181"/>
      </w:pPr>
      <w:r>
        <w:rPr>
          <w:rFonts w:ascii="Century Gothic" w:hAnsi="Century Gothic"/>
          <w:sz w:val="19"/>
        </w:rPr>
        <w:t>• Réaliser les entretiens médicaux et les évaluations cliniques requises : examen psychiatrique et/ou neurologique, examen somatique selon le protocole, échelles cliniques, cognitives ou psychopathologiques ;</w:t>
      </w:r>
    </w:p>
    <w:p>
      <w:pPr>
        <w:spacing w:after="10" w:line="235" w:lineRule="auto"/>
        <w:ind w:left="312" w:hanging="181"/>
      </w:pPr>
      <w:r>
        <w:rPr>
          <w:rFonts w:ascii="Century Gothic" w:hAnsi="Century Gothic"/>
          <w:sz w:val="19"/>
        </w:rPr>
        <w:t>• Prescrire ou réaliser, lorsque le protocole et les délégations le prévoient, les actes, examens, traitements ou procédures de recherche relevant d’une compétence médicale ;</w:t>
      </w:r>
    </w:p>
    <w:p>
      <w:pPr>
        <w:spacing w:after="10" w:line="235" w:lineRule="auto"/>
        <w:ind w:left="312" w:hanging="181"/>
      </w:pPr>
      <w:r>
        <w:rPr>
          <w:rFonts w:ascii="Century Gothic" w:hAnsi="Century Gothic"/>
          <w:sz w:val="19"/>
        </w:rPr>
        <w:t>• Assurer le suivi médical des participants pendant leur parcours de recherche, évaluer la tolérance et identifier les événements indésirables ;</w:t>
      </w:r>
    </w:p>
    <w:p>
      <w:pPr>
        <w:spacing w:after="10" w:line="235" w:lineRule="auto"/>
        <w:ind w:left="312" w:hanging="181"/>
      </w:pPr>
      <w:r>
        <w:rPr>
          <w:rFonts w:ascii="Century Gothic" w:hAnsi="Century Gothic"/>
          <w:sz w:val="19"/>
        </w:rPr>
        <w:t>• Prendre les décisions médicales nécessaires à la sécurité du participant en lien avec l’investigateur responsable et appliquer les procédures de déclaration prévues par le protocole ;</w:t>
      </w:r>
    </w:p>
    <w:p>
      <w:pPr>
        <w:spacing w:after="10" w:line="235" w:lineRule="auto"/>
        <w:ind w:left="312" w:hanging="181"/>
      </w:pPr>
      <w:r>
        <w:rPr>
          <w:rFonts w:ascii="Century Gothic" w:hAnsi="Century Gothic"/>
          <w:sz w:val="19"/>
        </w:rPr>
        <w:t>• Garantir la traçabilité des évaluations médicales et la qualité des données sources relevant de son activité.</w:t>
      </w:r>
    </w:p>
    <w:p>
      <w:pPr>
        <w:keepNext/>
        <w:spacing w:before="80" w:after="20" w:line="240" w:lineRule="auto"/>
      </w:pPr>
      <w:r>
        <w:rPr>
          <w:rFonts w:ascii="Century Gothic" w:hAnsi="Century Gothic"/>
          <w:b/>
          <w:color w:val="0070C0"/>
          <w:sz w:val="20"/>
        </w:rPr>
        <w:t>2. Mise en œuvre et conduite opérationnelle des études</w:t>
      </w:r>
    </w:p>
    <w:p>
      <w:pPr>
        <w:spacing w:after="10" w:line="235" w:lineRule="auto"/>
        <w:ind w:left="312" w:hanging="181"/>
      </w:pPr>
      <w:r>
        <w:rPr>
          <w:rFonts w:ascii="Century Gothic" w:hAnsi="Century Gothic"/>
          <w:sz w:val="19"/>
        </w:rPr>
        <w:t>• Participer aux réunions de faisabilité, de mise en place et de formation des études réalisées au CRC ;</w:t>
      </w:r>
    </w:p>
    <w:p>
      <w:pPr>
        <w:spacing w:after="10" w:line="235" w:lineRule="auto"/>
        <w:ind w:left="312" w:hanging="181"/>
      </w:pPr>
      <w:r>
        <w:rPr>
          <w:rFonts w:ascii="Century Gothic" w:hAnsi="Century Gothic"/>
          <w:sz w:val="19"/>
        </w:rPr>
        <w:t>• Contribuer à l’organisation pratique des parcours de visite et à la coordination des actes avec les infirmiers, TEC/ARC, techniciens et plateformes partenaires ;</w:t>
      </w:r>
    </w:p>
    <w:p>
      <w:pPr>
        <w:spacing w:after="10" w:line="235" w:lineRule="auto"/>
        <w:ind w:left="312" w:hanging="181"/>
      </w:pPr>
      <w:r>
        <w:rPr>
          <w:rFonts w:ascii="Century Gothic" w:hAnsi="Century Gothic"/>
          <w:sz w:val="19"/>
        </w:rPr>
        <w:t>• Veiller au respect du protocole, des procédures du CRC, des Bonnes Pratiques Cliniques et des règles de sécurité applicables ;</w:t>
      </w:r>
    </w:p>
    <w:p>
      <w:pPr>
        <w:spacing w:after="10" w:line="235" w:lineRule="auto"/>
        <w:ind w:left="312" w:hanging="181"/>
      </w:pPr>
      <w:r>
        <w:rPr>
          <w:rFonts w:ascii="Century Gothic" w:hAnsi="Century Gothic"/>
          <w:sz w:val="19"/>
        </w:rPr>
        <w:t>• Participer à la complétude et à la cohérence des documents source et des données de recherche, en lien avec l’équipe d’étude ;</w:t>
      </w:r>
    </w:p>
    <w:p>
      <w:pPr>
        <w:spacing w:after="10" w:line="235" w:lineRule="auto"/>
        <w:ind w:left="312" w:hanging="181"/>
      </w:pPr>
      <w:r>
        <w:rPr>
          <w:rFonts w:ascii="Century Gothic" w:hAnsi="Century Gothic"/>
          <w:sz w:val="19"/>
        </w:rPr>
        <w:t>• Répondre aux demandes médicales des promoteurs et des ARC moniteurs et participer aux visites de monitoring, audits ou inspections lorsqu’elles concernent son activité ;</w:t>
      </w:r>
    </w:p>
    <w:p>
      <w:pPr>
        <w:spacing w:after="10" w:line="235" w:lineRule="auto"/>
        <w:ind w:left="312" w:hanging="181"/>
      </w:pPr>
      <w:r>
        <w:rPr>
          <w:rFonts w:ascii="Century Gothic" w:hAnsi="Century Gothic"/>
          <w:sz w:val="19"/>
        </w:rPr>
        <w:t>• Identifier et signaler les difficultés opérationnelles ou médicales susceptibles d’affecter le recrutement, la sécurité ou la qualité des données.</w:t>
      </w:r>
    </w:p>
    <w:p>
      <w:pPr>
        <w:keepNext/>
        <w:spacing w:before="80" w:after="20" w:line="240" w:lineRule="auto"/>
      </w:pPr>
      <w:r>
        <w:rPr>
          <w:rFonts w:ascii="Century Gothic" w:hAnsi="Century Gothic"/>
          <w:b/>
          <w:color w:val="0070C0"/>
          <w:sz w:val="20"/>
        </w:rPr>
        <w:t>3. Travail en équipe et contribution au fonctionnement du CRC</w:t>
      </w:r>
    </w:p>
    <w:p>
      <w:pPr>
        <w:spacing w:after="10" w:line="235" w:lineRule="auto"/>
        <w:ind w:left="312" w:hanging="181"/>
      </w:pPr>
      <w:r>
        <w:rPr>
          <w:rFonts w:ascii="Century Gothic" w:hAnsi="Century Gothic"/>
          <w:sz w:val="19"/>
        </w:rPr>
        <w:t>• Travailler au quotidien au sein d’une équipe pluridisciplinaire dédiée à la recherche clinique ;</w:t>
      </w:r>
    </w:p>
    <w:p>
      <w:pPr>
        <w:spacing w:after="10" w:line="235" w:lineRule="auto"/>
        <w:ind w:left="312" w:hanging="181"/>
      </w:pPr>
      <w:r>
        <w:rPr>
          <w:rFonts w:ascii="Century Gothic" w:hAnsi="Century Gothic"/>
          <w:sz w:val="19"/>
        </w:rPr>
        <w:t>• Participer aux réunions d’équipe, aux réunions de lancement et de suivi des projets et aux temps de retour d’expérience ;</w:t>
      </w:r>
    </w:p>
    <w:p>
      <w:pPr>
        <w:spacing w:after="10" w:line="235" w:lineRule="auto"/>
        <w:ind w:left="312" w:hanging="181"/>
      </w:pPr>
      <w:r>
        <w:rPr>
          <w:rFonts w:ascii="Century Gothic" w:hAnsi="Century Gothic"/>
          <w:sz w:val="19"/>
        </w:rPr>
        <w:t>• Contribuer à l’harmonisation des pratiques, à l’amélioration des procédures et à la formation aux protocoles ;</w:t>
      </w:r>
    </w:p>
    <w:p>
      <w:pPr>
        <w:spacing w:after="10" w:line="235" w:lineRule="auto"/>
        <w:ind w:left="312" w:hanging="181"/>
      </w:pPr>
      <w:r>
        <w:rPr>
          <w:rFonts w:ascii="Century Gothic" w:hAnsi="Century Gothic"/>
          <w:sz w:val="19"/>
        </w:rPr>
        <w:t>• Participer à l’accueil et à la formation de stagiaires ou de professionnels en formation, selon les besoins du CRC.</w:t>
      </w:r>
    </w:p>
    <w:p>
      <w:pPr>
        <w:keepNext/>
        <w:spacing w:before="80" w:after="20" w:line="240" w:lineRule="auto"/>
      </w:pPr>
      <w:r>
        <w:rPr>
          <w:rFonts w:ascii="Century Gothic" w:hAnsi="Century Gothic"/>
          <w:b/>
          <w:color w:val="0070C0"/>
          <w:sz w:val="20"/>
        </w:rPr>
        <w:t>4. Animation scientifique et valorisation de la recherche</w:t>
      </w:r>
    </w:p>
    <w:p>
      <w:pPr>
        <w:spacing w:after="20" w:line="240" w:lineRule="auto"/>
        <w:jc w:val="both"/>
      </w:pPr>
      <w:bookmarkStart w:id="0" w:name="_Hlk238637669"/>
      <w:r>
        <w:rPr>
          <w:rFonts w:ascii="Century Gothic" w:hAnsi="Century Gothic"/>
          <w:sz w:val="20"/>
        </w:rPr>
        <w:t>Selon son intérêt et son expérience, le médecin investigateur pourra également :</w:t>
      </w:r>
    </w:p>
    <w:p>
      <w:pPr>
        <w:spacing w:after="10" w:line="235" w:lineRule="auto"/>
        <w:ind w:left="312" w:hanging="181"/>
      </w:pPr>
      <w:r>
        <w:rPr>
          <w:rFonts w:ascii="Century Gothic" w:hAnsi="Century Gothic"/>
          <w:sz w:val="19"/>
        </w:rPr>
        <w:t>• Participer à l’animation scientifique du CRC et aux réunions de recherche du GHU Paris ;</w:t>
      </w:r>
    </w:p>
    <w:p>
      <w:pPr>
        <w:spacing w:after="10" w:line="235" w:lineRule="auto"/>
        <w:ind w:left="312" w:hanging="181"/>
      </w:pPr>
      <w:r>
        <w:rPr>
          <w:rFonts w:ascii="Century Gothic" w:hAnsi="Century Gothic"/>
          <w:sz w:val="19"/>
        </w:rPr>
        <w:t>• Contribuer à la réflexion méthodologique et à la rédaction de protocoles, lettres d’intention ou dossiers d’appels à projets ;</w:t>
      </w:r>
    </w:p>
    <w:p>
      <w:pPr>
        <w:spacing w:after="10" w:line="235" w:lineRule="auto"/>
        <w:ind w:left="312" w:hanging="181"/>
      </w:pPr>
      <w:r>
        <w:rPr>
          <w:rFonts w:ascii="Century Gothic" w:hAnsi="Century Gothic"/>
          <w:sz w:val="19"/>
        </w:rPr>
        <w:t>• Participer à l’analyse des données, à la rédaction de résumés, communications scientifiques et articles ;</w:t>
      </w:r>
    </w:p>
    <w:bookmarkEnd w:id="0"/>
    <w:p>
      <w:pPr>
        <w:spacing w:after="10" w:line="235" w:lineRule="auto"/>
        <w:ind w:left="312" w:hanging="181"/>
        <w:rPr>
          <w:rFonts w:ascii="Century Gothic" w:hAnsi="Century Gothic"/>
          <w:sz w:val="19"/>
        </w:rPr>
      </w:pPr>
      <w:r>
        <w:rPr>
          <w:rFonts w:ascii="Century Gothic" w:hAnsi="Century Gothic"/>
          <w:sz w:val="19"/>
        </w:rPr>
        <w:lastRenderedPageBreak/>
        <w:t>• Contribuer au développement de nouvelles méthodes d’évaluation ou techniques d’exploration en lien avec les équipes porteuses de projets.</w:t>
      </w:r>
    </w:p>
    <w:p>
      <w:pPr>
        <w:keepNext/>
        <w:spacing w:before="80" w:after="20" w:line="240" w:lineRule="auto"/>
      </w:pPr>
      <w:r>
        <w:rPr>
          <w:rFonts w:ascii="Century Gothic" w:hAnsi="Century Gothic"/>
          <w:b/>
          <w:color w:val="0070C0"/>
          <w:sz w:val="20"/>
        </w:rPr>
        <w:t>5. Aide à la mise en place de la norme ISO 9001</w:t>
      </w:r>
    </w:p>
    <w:p>
      <w:pPr>
        <w:spacing w:after="10" w:line="235" w:lineRule="auto"/>
        <w:ind w:left="312" w:hanging="181"/>
      </w:pPr>
      <w:r>
        <w:t>Selon son intérêt et son expérience, le médecin investigateur pourra également :</w:t>
      </w:r>
    </w:p>
    <w:p>
      <w:pPr>
        <w:spacing w:after="10" w:line="235" w:lineRule="auto"/>
        <w:ind w:left="312" w:hanging="181"/>
      </w:pPr>
      <w:bookmarkStart w:id="1" w:name="_Hlk238639641"/>
      <w:r>
        <w:t>• Participer à mise en place des processus</w:t>
      </w:r>
    </w:p>
    <w:bookmarkEnd w:id="1"/>
    <w:p>
      <w:pPr>
        <w:spacing w:after="10" w:line="235" w:lineRule="auto"/>
        <w:ind w:left="312" w:hanging="181"/>
      </w:pPr>
      <w:r>
        <w:t>• Contribuer aux réunions réglementaires COPIL, Comité Scientifique et Revue de Direction</w:t>
      </w:r>
    </w:p>
    <w:p>
      <w:pPr>
        <w:spacing w:after="10" w:line="235" w:lineRule="auto"/>
        <w:ind w:left="312" w:hanging="181"/>
      </w:pPr>
      <w:r>
        <w:t>• Participer aux audits et à la mise en place des plans d’action</w:t>
      </w:r>
    </w:p>
    <w:p>
      <w:pPr>
        <w:spacing w:after="10" w:line="235" w:lineRule="auto"/>
        <w:ind w:left="312" w:hanging="181"/>
      </w:pPr>
      <w:r>
        <w:t>• Participer à l’amélioration continue</w:t>
      </w:r>
    </w:p>
    <w:p>
      <w:pPr>
        <w:spacing w:after="10" w:line="235" w:lineRule="auto"/>
        <w:ind w:left="312" w:hanging="181"/>
      </w:pPr>
    </w:p>
    <w:p>
      <w:pPr>
        <w:keepNext/>
        <w:spacing w:before="140" w:after="40" w:line="240" w:lineRule="auto"/>
      </w:pPr>
      <w:r>
        <w:rPr>
          <w:rFonts w:ascii="Century Gothic" w:hAnsi="Century Gothic"/>
          <w:b/>
          <w:color w:val="008080"/>
          <w:sz w:val="19"/>
        </w:rPr>
        <w:t>UN POSTE FORMATEUR ET ATTRACTIF</w:t>
      </w:r>
    </w:p>
    <w:p>
      <w:pPr>
        <w:spacing w:after="20" w:line="240" w:lineRule="auto"/>
        <w:jc w:val="both"/>
      </w:pPr>
      <w:r>
        <w:rPr>
          <w:rFonts w:ascii="Century Gothic" w:hAnsi="Century Gothic"/>
          <w:sz w:val="20"/>
        </w:rPr>
        <w:t>Le CRC offre un environnement particulièrement adapté à un médecin souhaitant se former à la recherche clinique tout en conservant une activité médicale concrète. Le poste permet d’acquérir une expérience complète du déroulement d’un essai, depuis la mise en place et le screening jusqu’au suivi des participants et à la valorisation scientifique.</w:t>
      </w:r>
    </w:p>
    <w:p>
      <w:pPr>
        <w:spacing w:after="10" w:line="235" w:lineRule="auto"/>
        <w:ind w:left="312" w:hanging="181"/>
      </w:pPr>
      <w:r>
        <w:rPr>
          <w:rFonts w:ascii="Century Gothic" w:hAnsi="Century Gothic"/>
          <w:sz w:val="19"/>
        </w:rPr>
        <w:t>• Exposition à des études académiques et industrielles variées en psychiatrie, neurologie et neurosciences ;</w:t>
      </w:r>
    </w:p>
    <w:p>
      <w:pPr>
        <w:spacing w:after="10" w:line="235" w:lineRule="auto"/>
        <w:ind w:left="312" w:hanging="181"/>
      </w:pPr>
      <w:r>
        <w:rPr>
          <w:rFonts w:ascii="Century Gothic" w:hAnsi="Century Gothic"/>
          <w:sz w:val="19"/>
        </w:rPr>
        <w:t>• Contact direct avec des méthodologies et outils diversifiés : évaluations cliniques et cognitives, neurostimulation, imagerie et autres techniques d’exploration ;</w:t>
      </w:r>
    </w:p>
    <w:p>
      <w:pPr>
        <w:spacing w:after="10" w:line="235" w:lineRule="auto"/>
        <w:ind w:left="312" w:hanging="181"/>
      </w:pPr>
      <w:r>
        <w:rPr>
          <w:rFonts w:ascii="Century Gothic" w:hAnsi="Century Gothic"/>
          <w:sz w:val="19"/>
        </w:rPr>
        <w:t>• Travail au sein d’une équipe expérimentée en recherche clinique et en interaction avec de nombreuses équipes médicales et scientifiques du GHU Paris ;</w:t>
      </w:r>
    </w:p>
    <w:p>
      <w:pPr>
        <w:spacing w:after="10" w:line="235" w:lineRule="auto"/>
        <w:ind w:left="312" w:hanging="181"/>
      </w:pPr>
      <w:r>
        <w:rPr>
          <w:rFonts w:ascii="Century Gothic" w:hAnsi="Century Gothic"/>
          <w:sz w:val="19"/>
        </w:rPr>
        <w:t>• Possibilité de développer progressivement des compétences en méthodologie, réglementation, rédaction scientifique et valorisation des travaux ;</w:t>
      </w:r>
    </w:p>
    <w:p>
      <w:pPr>
        <w:spacing w:after="10" w:line="235" w:lineRule="auto"/>
        <w:ind w:left="312" w:hanging="181"/>
      </w:pPr>
      <w:r>
        <w:rPr>
          <w:rFonts w:ascii="Century Gothic" w:hAnsi="Century Gothic"/>
          <w:sz w:val="19"/>
        </w:rPr>
        <w:t>• Expérience particulièrement pertinente pour un projet ultérieur de carrière hospitalière, hospitalo-universitaire ou orientée vers la recherche clinique.</w:t>
      </w:r>
    </w:p>
    <w:p>
      <w:pPr>
        <w:keepNext/>
        <w:spacing w:before="140" w:after="40" w:line="240" w:lineRule="auto"/>
      </w:pPr>
      <w:r>
        <w:rPr>
          <w:rFonts w:ascii="Century Gothic" w:hAnsi="Century Gothic"/>
          <w:b/>
          <w:color w:val="008080"/>
          <w:sz w:val="19"/>
        </w:rPr>
        <w:t>PROFIL RECHERCHÉ</w:t>
      </w:r>
    </w:p>
    <w:p>
      <w:pPr>
        <w:spacing w:after="10" w:line="235" w:lineRule="auto"/>
        <w:ind w:left="312" w:hanging="181"/>
      </w:pPr>
      <w:r>
        <w:rPr>
          <w:rFonts w:ascii="Century Gothic" w:hAnsi="Century Gothic"/>
          <w:sz w:val="19"/>
        </w:rPr>
        <w:t>• Docteur en médecine, titulaire d’un DES de psychiatrie ou de neurologie, ou en situation compatible avec une prise de poste d’assistant spécialiste ;</w:t>
      </w:r>
    </w:p>
    <w:p>
      <w:pPr>
        <w:spacing w:after="10" w:line="235" w:lineRule="auto"/>
        <w:ind w:left="312" w:hanging="181"/>
      </w:pPr>
      <w:r>
        <w:rPr>
          <w:rFonts w:ascii="Century Gothic" w:hAnsi="Century Gothic"/>
          <w:sz w:val="19"/>
        </w:rPr>
        <w:t>• Profil particulièrement adapté à un médecin récemment diplômé ou en début de parcours professionnel souhaitant consacrer 2 à 3 ans à la recherche clinique ;</w:t>
      </w:r>
    </w:p>
    <w:p>
      <w:pPr>
        <w:spacing w:after="10" w:line="235" w:lineRule="auto"/>
        <w:ind w:left="312" w:hanging="181"/>
      </w:pPr>
      <w:r>
        <w:rPr>
          <w:rFonts w:ascii="Century Gothic" w:hAnsi="Century Gothic"/>
          <w:sz w:val="19"/>
        </w:rPr>
        <w:t>• Intérêt marqué pour la recherche clinique, les neurosciences et le travail transversal entre équipes ;</w:t>
      </w:r>
    </w:p>
    <w:p>
      <w:pPr>
        <w:spacing w:after="10" w:line="235" w:lineRule="auto"/>
        <w:ind w:left="312" w:hanging="181"/>
      </w:pPr>
      <w:r>
        <w:rPr>
          <w:rFonts w:ascii="Century Gothic" w:hAnsi="Century Gothic"/>
          <w:sz w:val="19"/>
        </w:rPr>
        <w:t>• Formation aux Bonnes Pratiques Cliniques appréciée ; elle pourra être complétée à la prise de poste ;</w:t>
      </w:r>
    </w:p>
    <w:p>
      <w:pPr>
        <w:spacing w:after="10" w:line="235" w:lineRule="auto"/>
        <w:ind w:left="312" w:hanging="181"/>
      </w:pPr>
      <w:r>
        <w:rPr>
          <w:rFonts w:ascii="Century Gothic" w:hAnsi="Century Gothic"/>
          <w:sz w:val="19"/>
        </w:rPr>
        <w:t>• Une première expérience de recherche (stage, mémoire, master, participation à une étude, publication) est appréciée mais non indispensable ;</w:t>
      </w:r>
    </w:p>
    <w:p>
      <w:pPr>
        <w:spacing w:after="10" w:line="235" w:lineRule="auto"/>
        <w:ind w:left="312" w:hanging="181"/>
      </w:pPr>
      <w:r>
        <w:rPr>
          <w:rFonts w:ascii="Century Gothic" w:hAnsi="Century Gothic"/>
          <w:sz w:val="19"/>
        </w:rPr>
        <w:t>• Aisance dans l’entretien clinique et dans l’évaluation de patients et de volontaires sains ;</w:t>
      </w:r>
    </w:p>
    <w:p>
      <w:pPr>
        <w:spacing w:after="10" w:line="235" w:lineRule="auto"/>
        <w:ind w:left="312" w:hanging="181"/>
      </w:pPr>
      <w:r>
        <w:rPr>
          <w:rFonts w:ascii="Century Gothic" w:hAnsi="Century Gothic"/>
          <w:sz w:val="19"/>
        </w:rPr>
        <w:t>• Rigueur, sens de l’organisation, fiabilité, autonomie progressive et aptitude au travail en équipe ;</w:t>
      </w:r>
    </w:p>
    <w:p>
      <w:pPr>
        <w:spacing w:after="10" w:line="235" w:lineRule="auto"/>
        <w:ind w:left="312" w:hanging="181"/>
      </w:pPr>
      <w:r>
        <w:rPr>
          <w:rFonts w:ascii="Century Gothic" w:hAnsi="Century Gothic"/>
          <w:sz w:val="19"/>
        </w:rPr>
        <w:t>• Bon relationnel avec les participants et les professionnels ; respect de la confidentialité et des exigences éthiques de la recherche ;</w:t>
      </w:r>
    </w:p>
    <w:p>
      <w:pPr>
        <w:spacing w:after="10" w:line="235" w:lineRule="auto"/>
        <w:ind w:left="312" w:hanging="181"/>
      </w:pPr>
      <w:r>
        <w:rPr>
          <w:rFonts w:ascii="Century Gothic" w:hAnsi="Century Gothic"/>
          <w:sz w:val="19"/>
        </w:rPr>
        <w:t>• Capacité à lire et comprendre un protocole ou une documentation scientifique en anglais.</w:t>
      </w:r>
    </w:p>
    <w:p>
      <w:pPr>
        <w:keepNext/>
        <w:spacing w:before="140" w:after="40" w:line="240" w:lineRule="auto"/>
      </w:pPr>
      <w:r>
        <w:rPr>
          <w:rFonts w:ascii="Century Gothic" w:hAnsi="Century Gothic"/>
          <w:b/>
          <w:color w:val="008080"/>
          <w:sz w:val="19"/>
        </w:rPr>
        <w:t>CONDITIONS DU POSTE</w:t>
      </w:r>
    </w:p>
    <w:p>
      <w:pPr>
        <w:spacing w:after="10" w:line="235" w:lineRule="auto"/>
        <w:ind w:left="312" w:hanging="181"/>
      </w:pPr>
      <w:r>
        <w:rPr>
          <w:rFonts w:ascii="Century Gothic" w:hAnsi="Century Gothic"/>
          <w:sz w:val="19"/>
        </w:rPr>
        <w:t>• Temps plein – site Sainte-Anne, Paris 14e ;</w:t>
      </w:r>
    </w:p>
    <w:p>
      <w:pPr>
        <w:spacing w:after="10" w:line="235" w:lineRule="auto"/>
        <w:ind w:left="312" w:hanging="181"/>
      </w:pPr>
      <w:r>
        <w:rPr>
          <w:rFonts w:ascii="Century Gothic" w:hAnsi="Century Gothic"/>
          <w:sz w:val="19"/>
        </w:rPr>
        <w:t>• Statut : assistant spécialiste ;</w:t>
      </w:r>
    </w:p>
    <w:p>
      <w:pPr>
        <w:spacing w:after="10" w:line="235" w:lineRule="auto"/>
        <w:ind w:left="312" w:hanging="181"/>
      </w:pPr>
      <w:r>
        <w:rPr>
          <w:rFonts w:ascii="Century Gothic" w:hAnsi="Century Gothic"/>
          <w:sz w:val="19"/>
        </w:rPr>
        <w:t>• Durée envisagée : 2 à 3 ans, selon les modalités statutaires et institutionnelles ;</w:t>
      </w:r>
    </w:p>
    <w:p>
      <w:pPr>
        <w:spacing w:after="10" w:line="235" w:lineRule="auto"/>
        <w:ind w:left="312" w:hanging="181"/>
      </w:pPr>
      <w:r>
        <w:rPr>
          <w:rFonts w:ascii="Century Gothic" w:hAnsi="Century Gothic"/>
          <w:sz w:val="19"/>
        </w:rPr>
        <w:t>• Prise de fonction souhaitée : 1er novembre 2026.</w:t>
      </w:r>
    </w:p>
    <w:p>
      <w:pPr>
        <w:keepNext/>
        <w:spacing w:before="140" w:after="40" w:line="240" w:lineRule="auto"/>
      </w:pPr>
      <w:r>
        <w:rPr>
          <w:rFonts w:ascii="Century Gothic" w:hAnsi="Century Gothic"/>
          <w:b/>
          <w:color w:val="008080"/>
          <w:sz w:val="19"/>
        </w:rPr>
        <w:lastRenderedPageBreak/>
        <w:t>CONTACT</w:t>
      </w:r>
    </w:p>
    <w:p>
      <w:pPr>
        <w:spacing w:after="20" w:line="240" w:lineRule="auto"/>
        <w:jc w:val="both"/>
      </w:pPr>
      <w:r>
        <w:rPr>
          <w:rFonts w:ascii="Century Gothic" w:hAnsi="Century Gothic"/>
          <w:sz w:val="20"/>
        </w:rPr>
        <w:t>Candidatures à adresser au Dr Macarena CUENCA-MAIA, cheffe de service du CRC, et au Pr Tarek SHARSHAR, chef du pôle médico-technique.</w:t>
      </w:r>
    </w:p>
    <w:sectPr>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pPr>
    <w:r>
      <w:rPr>
        <w:rFonts w:ascii="Century Gothic" w:hAnsi="Century Gothic"/>
        <w:b/>
        <w:noProof/>
        <w:lang w:eastAsia="fr-FR"/>
      </w:rPr>
      <w:drawing>
        <wp:anchor distT="0" distB="0" distL="114300" distR="114300" simplePos="0" relativeHeight="251662336" behindDoc="0" locked="0" layoutInCell="1" allowOverlap="1">
          <wp:simplePos x="0" y="0"/>
          <wp:positionH relativeFrom="margin">
            <wp:posOffset>-443865</wp:posOffset>
          </wp:positionH>
          <wp:positionV relativeFrom="paragraph">
            <wp:posOffset>-476250</wp:posOffset>
          </wp:positionV>
          <wp:extent cx="6699584" cy="247650"/>
          <wp:effectExtent l="0" t="0" r="6350" b="0"/>
          <wp:wrapSquare wrapText="bothSides"/>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99584" cy="24765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0" locked="0" layoutInCell="1" allowOverlap="1">
          <wp:simplePos x="0" y="0"/>
          <wp:positionH relativeFrom="margin">
            <wp:posOffset>-400050</wp:posOffset>
          </wp:positionH>
          <wp:positionV relativeFrom="paragraph">
            <wp:posOffset>-264160</wp:posOffset>
          </wp:positionV>
          <wp:extent cx="6405843" cy="1057275"/>
          <wp:effectExtent l="0" t="0" r="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11739" t="45698" r="54200" b="37227"/>
                  <a:stretch/>
                </pic:blipFill>
                <pic:spPr bwMode="auto">
                  <a:xfrm>
                    <a:off x="0" y="0"/>
                    <a:ext cx="6405843" cy="1057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pPr>
      <w:pStyle w:val="Pieddepage"/>
    </w:pPr>
    <w:r>
      <w:rPr>
        <w:noProof/>
        <w:lang w:eastAsia="fr-FR"/>
      </w:rPr>
      <mc:AlternateContent>
        <mc:Choice Requires="wps">
          <w:drawing>
            <wp:anchor distT="45720" distB="45720" distL="114300" distR="114300" simplePos="0" relativeHeight="251660288" behindDoc="0" locked="0" layoutInCell="1" allowOverlap="1">
              <wp:simplePos x="0" y="0"/>
              <wp:positionH relativeFrom="column">
                <wp:posOffset>2979420</wp:posOffset>
              </wp:positionH>
              <wp:positionV relativeFrom="paragraph">
                <wp:posOffset>13335</wp:posOffset>
              </wp:positionV>
              <wp:extent cx="2360930" cy="739140"/>
              <wp:effectExtent l="0" t="0" r="0" b="381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39140"/>
                      </a:xfrm>
                      <a:prstGeom prst="rect">
                        <a:avLst/>
                      </a:prstGeom>
                      <a:solidFill>
                        <a:srgbClr val="FFFFFF"/>
                      </a:solidFill>
                      <a:ln w="9525">
                        <a:noFill/>
                        <a:miter lim="800000"/>
                        <a:headEnd/>
                        <a:tailEnd/>
                      </a:ln>
                    </wps:spPr>
                    <wps:txbx>
                      <w:txbxContent>
                        <w:p>
                          <w:pPr>
                            <w:spacing w:after="0" w:line="240" w:lineRule="auto"/>
                            <w:rPr>
                              <w:rFonts w:ascii="Century Gothic" w:hAnsi="Century Gothic"/>
                              <w:color w:val="A6A6A6" w:themeColor="background1" w:themeShade="A6"/>
                              <w:sz w:val="16"/>
                            </w:rPr>
                          </w:pPr>
                          <w:r>
                            <w:rPr>
                              <w:rFonts w:ascii="Century Gothic" w:hAnsi="Century Gothic"/>
                              <w:color w:val="A6A6A6" w:themeColor="background1" w:themeShade="A6"/>
                              <w:sz w:val="16"/>
                            </w:rPr>
                            <w:t>GHU Paris psychiatrie &amp; neurosciences</w:t>
                          </w:r>
                        </w:p>
                        <w:p>
                          <w:pPr>
                            <w:spacing w:after="0" w:line="240" w:lineRule="auto"/>
                            <w:rPr>
                              <w:rFonts w:ascii="Century Gothic" w:hAnsi="Century Gothic"/>
                              <w:color w:val="A6A6A6" w:themeColor="background1" w:themeShade="A6"/>
                              <w:sz w:val="16"/>
                            </w:rPr>
                          </w:pPr>
                          <w:r>
                            <w:rPr>
                              <w:rFonts w:ascii="Century Gothic" w:hAnsi="Century Gothic"/>
                              <w:color w:val="A6A6A6" w:themeColor="background1" w:themeShade="A6"/>
                              <w:sz w:val="16"/>
                            </w:rPr>
                            <w:t>1 rue Cabanis, 75014 Paris</w:t>
                          </w:r>
                        </w:p>
                        <w:p>
                          <w:pPr>
                            <w:spacing w:after="0" w:line="240" w:lineRule="auto"/>
                            <w:rPr>
                              <w:rFonts w:ascii="Century Gothic" w:hAnsi="Century Gothic"/>
                              <w:color w:val="A6A6A6" w:themeColor="background1" w:themeShade="A6"/>
                              <w:sz w:val="16"/>
                            </w:rPr>
                          </w:pPr>
                          <w:hyperlink r:id="rId3" w:history="1">
                            <w:r>
                              <w:rPr>
                                <w:rStyle w:val="Lienhypertexte"/>
                                <w:rFonts w:ascii="Century Gothic" w:hAnsi="Century Gothic"/>
                                <w:sz w:val="16"/>
                              </w:rPr>
                              <w:t>www.ghu-paris.fr</w:t>
                            </w:r>
                          </w:hyperlink>
                          <w:r>
                            <w:rPr>
                              <w:rFonts w:ascii="Century Gothic" w:hAnsi="Century Gothic"/>
                              <w:color w:val="A6A6A6" w:themeColor="background1" w:themeShade="A6"/>
                              <w:sz w:val="16"/>
                            </w:rPr>
                            <w:t xml:space="preserve"> </w:t>
                          </w:r>
                          <w:r>
                            <w:rPr>
                              <w:rFonts w:ascii="Century Gothic" w:hAnsi="Century Gothic"/>
                              <w:color w:val="A6A6A6" w:themeColor="background1" w:themeShade="A6"/>
                              <w:sz w:val="16"/>
                            </w:rPr>
                            <w:br/>
                            <w:t xml:space="preserve"> </w:t>
                          </w:r>
                        </w:p>
                        <w:p>
                          <w:pPr>
                            <w:rPr>
                              <w:rFonts w:ascii="Century Gothic" w:hAnsi="Century Gothic"/>
                              <w:color w:val="A6A6A6" w:themeColor="background1" w:themeShade="A6"/>
                              <w:sz w:val="16"/>
                            </w:rPr>
                          </w:pPr>
                        </w:p>
                        <w:p>
                          <w:pPr>
                            <w:rPr>
                              <w:rFonts w:ascii="Century Gothic" w:hAnsi="Century Gothic"/>
                              <w:color w:val="A6A6A6" w:themeColor="background1" w:themeShade="A6"/>
                              <w:sz w:val="16"/>
                            </w:rPr>
                          </w:pPr>
                          <w:r>
                            <w:rPr>
                              <w:rFonts w:ascii="Century Gothic" w:hAnsi="Century Gothic"/>
                              <w:color w:val="A6A6A6" w:themeColor="background1" w:themeShade="A6"/>
                              <w:sz w:val="16"/>
                            </w:rPr>
                            <w:br/>
                            <w:t xml:space="preserve"> </w:t>
                          </w:r>
                        </w:p>
                        <w:p>
                          <w:pPr>
                            <w:rPr>
                              <w:rFonts w:ascii="Century Gothic" w:hAnsi="Century Gothic"/>
                              <w:color w:val="A6A6A6" w:themeColor="background1" w:themeShade="A6"/>
                              <w:sz w:val="16"/>
                            </w:rPr>
                          </w:pPr>
                          <w:r>
                            <w:rPr>
                              <w:rFonts w:ascii="Century Gothic" w:hAnsi="Century Gothic"/>
                              <w:color w:val="A6A6A6" w:themeColor="background1" w:themeShade="A6"/>
                              <w:sz w:val="16"/>
                            </w:rPr>
                            <w:t>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34.6pt;margin-top:1.05pt;width:185.9pt;height:58.2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o7JQIAACIEAAAOAAAAZHJzL2Uyb0RvYy54bWysU02P2yAQvVfqf0DcGzvOZrOx4qy22aaq&#10;tP2Qtr30hgHHqJihQGJnf30HnM1G21tVHxDjGR5v3jxWt0OnyUE6r8BUdDrJKZGGg1BmV9Ef37fv&#10;bijxgRnBNBhZ0aP09Hb99s2qt6UsoAUtpCMIYnzZ24q2IdgyyzxvZcf8BKw0mGzAdSxg6HaZcKxH&#10;9E5nRZ5fZz04YR1w6T3+vR+TdJ3wm0by8LVpvAxEVxS5hbS6tNZxzdYrVu4cs63iJxrsH1h0TBm8&#10;9Ax1zwIje6f+guoUd+ChCRMOXQZNo7hMPWA30/xVN48tszL1guJ4e5bJ/z9Y/uXwzRElKlpMF5QY&#10;1uGQfuKoiJAkyCFIUkSReutLrH20WB2G9zDgsFPD3j4A/+WJgU3LzE7eOQd9K5lAktN4Mrs4OuL4&#10;CFL3n0HgXWwfIAENjeuigqgJQXQc1vE8IORBOP4sZtf5coYpjrnFbDm9ShPMWPl82jofPkroSNxU&#10;1KEBEjo7PPgQ2bDyuSRe5kErsVVap8Dt6o125MDQLNv0pQZelWlD+oou58U8IRuI55OPOhXQzFp1&#10;Fb3J4zfaK6rxwYhUEpjS4x6ZaHOSJyoyahOGesDCqFkN4ohCORhNi48MNy24J0p6NGxF/e89c5IS&#10;/cmg2CgGqkFCCq7miwIDd5mpLzPMcISqaKBk3G5CehVRBwN3OJRGJb1emJy4ohGTjKdHE51+Gaeq&#10;l6e9/gMAAP//AwBQSwMEFAAGAAgAAAAhAOYnJKXdAAAACQEAAA8AAABkcnMvZG93bnJldi54bWxM&#10;j91OhDAQhe9NfIdmTLxzS8m6IlI2xoRowtWuPkCB4SfQKaFdFt/e8UovJ+fLme9kx81OYsXFD440&#10;qF0EAql2zUCdhq/P4iEB4YOhxkyOUMM3ejjmtzeZSRt3pROu59AJLiGfGg19CHMqpa97tMbv3IzE&#10;WesWawKfSyebxVy53E4yjqKDtGYg/tCbGd96rMfzxWr4KOuijUvbrmFUdixP1XvRPml9f7e9voAI&#10;uIU/GH71WR1ydqrchRovJg37w3PMqIZYgeA82SveVjGokkeQeSb/L8h/AAAA//8DAFBLAQItABQA&#10;BgAIAAAAIQC2gziS/gAAAOEBAAATAAAAAAAAAAAAAAAAAAAAAABbQ29udGVudF9UeXBlc10ueG1s&#10;UEsBAi0AFAAGAAgAAAAhADj9If/WAAAAlAEAAAsAAAAAAAAAAAAAAAAALwEAAF9yZWxzLy5yZWxz&#10;UEsBAi0AFAAGAAgAAAAhAAdlGjslAgAAIgQAAA4AAAAAAAAAAAAAAAAALgIAAGRycy9lMm9Eb2Mu&#10;eG1sUEsBAi0AFAAGAAgAAAAhAOYnJKXdAAAACQEAAA8AAAAAAAAAAAAAAAAAfwQAAGRycy9kb3du&#10;cmV2LnhtbFBLBQYAAAAABAAEAPMAAACJBQAAAAA=&#10;" stroked="f">
              <v:textbox>
                <w:txbxContent>
                  <w:p>
                    <w:pPr>
                      <w:spacing w:after="0" w:line="240" w:lineRule="auto"/>
                      <w:rPr>
                        <w:rFonts w:ascii="Century Gothic" w:hAnsi="Century Gothic"/>
                        <w:color w:val="A6A6A6" w:themeColor="background1" w:themeShade="A6"/>
                        <w:sz w:val="16"/>
                      </w:rPr>
                    </w:pPr>
                    <w:r>
                      <w:rPr>
                        <w:rFonts w:ascii="Century Gothic" w:hAnsi="Century Gothic"/>
                        <w:color w:val="A6A6A6" w:themeColor="background1" w:themeShade="A6"/>
                        <w:sz w:val="16"/>
                      </w:rPr>
                      <w:t>GHU Paris psychiatrie &amp; neurosciences</w:t>
                    </w:r>
                  </w:p>
                  <w:p>
                    <w:pPr>
                      <w:spacing w:after="0" w:line="240" w:lineRule="auto"/>
                      <w:rPr>
                        <w:rFonts w:ascii="Century Gothic" w:hAnsi="Century Gothic"/>
                        <w:color w:val="A6A6A6" w:themeColor="background1" w:themeShade="A6"/>
                        <w:sz w:val="16"/>
                      </w:rPr>
                    </w:pPr>
                    <w:r>
                      <w:rPr>
                        <w:rFonts w:ascii="Century Gothic" w:hAnsi="Century Gothic"/>
                        <w:color w:val="A6A6A6" w:themeColor="background1" w:themeShade="A6"/>
                        <w:sz w:val="16"/>
                      </w:rPr>
                      <w:t>1 rue Cabanis, 75014 Paris</w:t>
                    </w:r>
                  </w:p>
                  <w:p>
                    <w:pPr>
                      <w:spacing w:after="0" w:line="240" w:lineRule="auto"/>
                      <w:rPr>
                        <w:rFonts w:ascii="Century Gothic" w:hAnsi="Century Gothic"/>
                        <w:color w:val="A6A6A6" w:themeColor="background1" w:themeShade="A6"/>
                        <w:sz w:val="16"/>
                      </w:rPr>
                    </w:pPr>
                    <w:hyperlink r:id="rId4" w:history="1">
                      <w:r>
                        <w:rPr>
                          <w:rStyle w:val="Lienhypertexte"/>
                          <w:rFonts w:ascii="Century Gothic" w:hAnsi="Century Gothic"/>
                          <w:sz w:val="16"/>
                        </w:rPr>
                        <w:t>www.ghu-paris.fr</w:t>
                      </w:r>
                    </w:hyperlink>
                    <w:r>
                      <w:rPr>
                        <w:rFonts w:ascii="Century Gothic" w:hAnsi="Century Gothic"/>
                        <w:color w:val="A6A6A6" w:themeColor="background1" w:themeShade="A6"/>
                        <w:sz w:val="16"/>
                      </w:rPr>
                      <w:t xml:space="preserve"> </w:t>
                    </w:r>
                    <w:r>
                      <w:rPr>
                        <w:rFonts w:ascii="Century Gothic" w:hAnsi="Century Gothic"/>
                        <w:color w:val="A6A6A6" w:themeColor="background1" w:themeShade="A6"/>
                        <w:sz w:val="16"/>
                      </w:rPr>
                      <w:br/>
                      <w:t xml:space="preserve"> </w:t>
                    </w:r>
                  </w:p>
                  <w:p>
                    <w:pPr>
                      <w:rPr>
                        <w:rFonts w:ascii="Century Gothic" w:hAnsi="Century Gothic"/>
                        <w:color w:val="A6A6A6" w:themeColor="background1" w:themeShade="A6"/>
                        <w:sz w:val="16"/>
                      </w:rPr>
                    </w:pPr>
                  </w:p>
                  <w:p>
                    <w:pPr>
                      <w:rPr>
                        <w:rFonts w:ascii="Century Gothic" w:hAnsi="Century Gothic"/>
                        <w:color w:val="A6A6A6" w:themeColor="background1" w:themeShade="A6"/>
                        <w:sz w:val="16"/>
                      </w:rPr>
                    </w:pPr>
                    <w:r>
                      <w:rPr>
                        <w:rFonts w:ascii="Century Gothic" w:hAnsi="Century Gothic"/>
                        <w:color w:val="A6A6A6" w:themeColor="background1" w:themeShade="A6"/>
                        <w:sz w:val="16"/>
                      </w:rPr>
                      <w:br/>
                      <w:t xml:space="preserve"> </w:t>
                    </w:r>
                  </w:p>
                  <w:p>
                    <w:pPr>
                      <w:rPr>
                        <w:rFonts w:ascii="Century Gothic" w:hAnsi="Century Gothic"/>
                        <w:color w:val="A6A6A6" w:themeColor="background1" w:themeShade="A6"/>
                        <w:sz w:val="16"/>
                      </w:rPr>
                    </w:pPr>
                    <w:r>
                      <w:rPr>
                        <w:rFonts w:ascii="Century Gothic" w:hAnsi="Century Gothic"/>
                        <w:color w:val="A6A6A6" w:themeColor="background1" w:themeShade="A6"/>
                        <w:sz w:val="16"/>
                      </w:rPr>
                      <w:t>1</w:t>
                    </w:r>
                  </w:p>
                </w:txbxContent>
              </v:textbox>
              <w10:wrap type="square"/>
            </v:shape>
          </w:pict>
        </mc:Fallback>
      </mc:AlternateContent>
    </w:r>
    <w:r>
      <w:rPr>
        <w:rFonts w:ascii="Century Gothic" w:hAnsi="Century Gothic"/>
        <w:caps/>
        <w:noProof/>
        <w:color w:val="404040" w:themeColor="text1" w:themeTint="BF"/>
        <w:sz w:val="32"/>
        <w:lang w:eastAsia="fr-FR"/>
      </w:rPr>
      <w:drawing>
        <wp:anchor distT="0" distB="0" distL="114300" distR="114300" simplePos="0" relativeHeight="251659264" behindDoc="1" locked="0" layoutInCell="1" allowOverlap="1">
          <wp:simplePos x="0" y="0"/>
          <wp:positionH relativeFrom="column">
            <wp:posOffset>1566545</wp:posOffset>
          </wp:positionH>
          <wp:positionV relativeFrom="paragraph">
            <wp:posOffset>36830</wp:posOffset>
          </wp:positionV>
          <wp:extent cx="1335405" cy="380365"/>
          <wp:effectExtent l="0" t="0" r="0" b="635"/>
          <wp:wrapTight wrapText="bothSides">
            <wp:wrapPolygon edited="0">
              <wp:start x="2773" y="0"/>
              <wp:lineTo x="1233" y="2164"/>
              <wp:lineTo x="0" y="9736"/>
              <wp:lineTo x="0" y="20554"/>
              <wp:lineTo x="3081" y="20554"/>
              <wp:lineTo x="21261" y="20554"/>
              <wp:lineTo x="21261" y="0"/>
              <wp:lineTo x="2773" y="0"/>
            </wp:wrapPolygon>
          </wp:wrapTight>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 ghu.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5405" cy="380365"/>
                  </a:xfrm>
                  <a:prstGeom prst="rect">
                    <a:avLst/>
                  </a:prstGeom>
                </pic:spPr>
              </pic:pic>
            </a:graphicData>
          </a:graphic>
          <wp14:sizeRelH relativeFrom="page">
            <wp14:pctWidth>0</wp14:pctWidth>
          </wp14:sizeRelH>
          <wp14:sizeRelV relativeFrom="page">
            <wp14:pctHeight>0</wp14:pctHeight>
          </wp14:sizeRelV>
        </wp:anchor>
      </w:drawing>
    </w:r>
  </w:p>
  <w:p>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7F"/>
    <w:multiLevelType w:val="hybridMultilevel"/>
    <w:tmpl w:val="05B086E2"/>
    <w:lvl w:ilvl="0" w:tplc="1B26FA96">
      <w:numFmt w:val="bullet"/>
      <w:lvlText w:val="-"/>
      <w:lvlJc w:val="left"/>
      <w:pPr>
        <w:ind w:left="720" w:hanging="360"/>
      </w:pPr>
      <w:rPr>
        <w:rFonts w:ascii="Calibri" w:eastAsia="Times New Roman" w:hAnsi="Calibri"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3812BA"/>
    <w:multiLevelType w:val="hybridMultilevel"/>
    <w:tmpl w:val="42505D5A"/>
    <w:lvl w:ilvl="0" w:tplc="1B26FA96">
      <w:numFmt w:val="bullet"/>
      <w:lvlText w:val="-"/>
      <w:lvlJc w:val="left"/>
      <w:pPr>
        <w:ind w:left="720" w:hanging="360"/>
      </w:pPr>
      <w:rPr>
        <w:rFonts w:ascii="Calibri" w:eastAsia="Times New Roman" w:hAnsi="Calibri"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EF0C00"/>
    <w:multiLevelType w:val="hybridMultilevel"/>
    <w:tmpl w:val="1CEE30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F07346"/>
    <w:multiLevelType w:val="multilevel"/>
    <w:tmpl w:val="1550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FA4E71"/>
    <w:multiLevelType w:val="multilevel"/>
    <w:tmpl w:val="0AEE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C244C"/>
    <w:multiLevelType w:val="hybridMultilevel"/>
    <w:tmpl w:val="4F3E72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640CEE"/>
    <w:multiLevelType w:val="multilevel"/>
    <w:tmpl w:val="63C2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07507"/>
    <w:multiLevelType w:val="hybridMultilevel"/>
    <w:tmpl w:val="B134C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46B099C"/>
    <w:multiLevelType w:val="hybridMultilevel"/>
    <w:tmpl w:val="EC82E528"/>
    <w:lvl w:ilvl="0" w:tplc="6F8E125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D1348C"/>
    <w:multiLevelType w:val="multilevel"/>
    <w:tmpl w:val="1768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A5B4D"/>
    <w:multiLevelType w:val="multilevel"/>
    <w:tmpl w:val="855C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262AA"/>
    <w:multiLevelType w:val="hybridMultilevel"/>
    <w:tmpl w:val="AA9CA03A"/>
    <w:lvl w:ilvl="0" w:tplc="A6C6A19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DA52BB"/>
    <w:multiLevelType w:val="multilevel"/>
    <w:tmpl w:val="2372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B12A0"/>
    <w:multiLevelType w:val="hybridMultilevel"/>
    <w:tmpl w:val="C28647E2"/>
    <w:lvl w:ilvl="0" w:tplc="4CB8A314">
      <w:start w:val="29"/>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374CF6"/>
    <w:multiLevelType w:val="multilevel"/>
    <w:tmpl w:val="8688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C36F5"/>
    <w:multiLevelType w:val="hybridMultilevel"/>
    <w:tmpl w:val="49C2FD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36C55209"/>
    <w:multiLevelType w:val="multilevel"/>
    <w:tmpl w:val="B9B299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B4323"/>
    <w:multiLevelType w:val="multilevel"/>
    <w:tmpl w:val="D14A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67EF9"/>
    <w:multiLevelType w:val="hybridMultilevel"/>
    <w:tmpl w:val="F328E7A8"/>
    <w:lvl w:ilvl="0" w:tplc="1B26FA96">
      <w:numFmt w:val="bullet"/>
      <w:lvlText w:val="-"/>
      <w:lvlJc w:val="left"/>
      <w:pPr>
        <w:tabs>
          <w:tab w:val="num" w:pos="720"/>
        </w:tabs>
        <w:ind w:left="720" w:hanging="360"/>
      </w:pPr>
      <w:rPr>
        <w:rFonts w:ascii="Calibri" w:eastAsia="Times New Roman" w:hAnsi="Calibri" w:cs="Times New Roman" w:hint="default"/>
        <w:i/>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1D134A"/>
    <w:multiLevelType w:val="multilevel"/>
    <w:tmpl w:val="855C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D74393"/>
    <w:multiLevelType w:val="hybridMultilevel"/>
    <w:tmpl w:val="AC7201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1004FD"/>
    <w:multiLevelType w:val="hybridMultilevel"/>
    <w:tmpl w:val="B96881E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EAD0131"/>
    <w:multiLevelType w:val="hybridMultilevel"/>
    <w:tmpl w:val="C478B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516C21"/>
    <w:multiLevelType w:val="hybridMultilevel"/>
    <w:tmpl w:val="0AE69B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52317704"/>
    <w:multiLevelType w:val="multilevel"/>
    <w:tmpl w:val="4046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807875"/>
    <w:multiLevelType w:val="multilevel"/>
    <w:tmpl w:val="09DA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4637A"/>
    <w:multiLevelType w:val="multilevel"/>
    <w:tmpl w:val="FE605AB8"/>
    <w:lvl w:ilvl="0">
      <w:start w:val="1"/>
      <w:numFmt w:val="bullet"/>
      <w:lvlText w:val="-"/>
      <w:lvlJc w:val="left"/>
      <w:pPr>
        <w:ind w:left="1068" w:hanging="360"/>
      </w:pPr>
      <w:rPr>
        <w:rFonts w:ascii="Garamond" w:eastAsia="Garamond" w:hAnsi="Garamond" w:cs="Garamond"/>
      </w:rPr>
    </w:lvl>
    <w:lvl w:ilvl="1">
      <w:start w:val="1"/>
      <w:numFmt w:val="bullet"/>
      <w:lvlText w:val="o"/>
      <w:lvlJc w:val="left"/>
      <w:pPr>
        <w:ind w:left="2072" w:hanging="360"/>
      </w:pPr>
      <w:rPr>
        <w:rFonts w:ascii="Courier New" w:eastAsia="Courier New" w:hAnsi="Courier New" w:cs="Courier New"/>
      </w:rPr>
    </w:lvl>
    <w:lvl w:ilvl="2">
      <w:start w:val="1"/>
      <w:numFmt w:val="bullet"/>
      <w:lvlText w:val="▪"/>
      <w:lvlJc w:val="left"/>
      <w:pPr>
        <w:ind w:left="2792" w:hanging="360"/>
      </w:pPr>
      <w:rPr>
        <w:rFonts w:ascii="Noto Sans Symbols" w:eastAsia="Noto Sans Symbols" w:hAnsi="Noto Sans Symbols" w:cs="Noto Sans Symbols"/>
      </w:rPr>
    </w:lvl>
    <w:lvl w:ilvl="3">
      <w:start w:val="1"/>
      <w:numFmt w:val="bullet"/>
      <w:lvlText w:val="●"/>
      <w:lvlJc w:val="left"/>
      <w:pPr>
        <w:ind w:left="3512" w:hanging="360"/>
      </w:pPr>
      <w:rPr>
        <w:rFonts w:ascii="Noto Sans Symbols" w:eastAsia="Noto Sans Symbols" w:hAnsi="Noto Sans Symbols" w:cs="Noto Sans Symbols"/>
      </w:rPr>
    </w:lvl>
    <w:lvl w:ilvl="4">
      <w:start w:val="1"/>
      <w:numFmt w:val="bullet"/>
      <w:lvlText w:val="o"/>
      <w:lvlJc w:val="left"/>
      <w:pPr>
        <w:ind w:left="4232" w:hanging="360"/>
      </w:pPr>
      <w:rPr>
        <w:rFonts w:ascii="Courier New" w:eastAsia="Courier New" w:hAnsi="Courier New" w:cs="Courier New"/>
      </w:rPr>
    </w:lvl>
    <w:lvl w:ilvl="5">
      <w:start w:val="1"/>
      <w:numFmt w:val="bullet"/>
      <w:lvlText w:val="▪"/>
      <w:lvlJc w:val="left"/>
      <w:pPr>
        <w:ind w:left="4952" w:hanging="360"/>
      </w:pPr>
      <w:rPr>
        <w:rFonts w:ascii="Noto Sans Symbols" w:eastAsia="Noto Sans Symbols" w:hAnsi="Noto Sans Symbols" w:cs="Noto Sans Symbols"/>
      </w:rPr>
    </w:lvl>
    <w:lvl w:ilvl="6">
      <w:start w:val="1"/>
      <w:numFmt w:val="bullet"/>
      <w:lvlText w:val="●"/>
      <w:lvlJc w:val="left"/>
      <w:pPr>
        <w:ind w:left="5672" w:hanging="360"/>
      </w:pPr>
      <w:rPr>
        <w:rFonts w:ascii="Noto Sans Symbols" w:eastAsia="Noto Sans Symbols" w:hAnsi="Noto Sans Symbols" w:cs="Noto Sans Symbols"/>
      </w:rPr>
    </w:lvl>
    <w:lvl w:ilvl="7">
      <w:start w:val="1"/>
      <w:numFmt w:val="bullet"/>
      <w:lvlText w:val="o"/>
      <w:lvlJc w:val="left"/>
      <w:pPr>
        <w:ind w:left="6392" w:hanging="360"/>
      </w:pPr>
      <w:rPr>
        <w:rFonts w:ascii="Courier New" w:eastAsia="Courier New" w:hAnsi="Courier New" w:cs="Courier New"/>
      </w:rPr>
    </w:lvl>
    <w:lvl w:ilvl="8">
      <w:start w:val="1"/>
      <w:numFmt w:val="bullet"/>
      <w:lvlText w:val="▪"/>
      <w:lvlJc w:val="left"/>
      <w:pPr>
        <w:ind w:left="7112" w:hanging="360"/>
      </w:pPr>
      <w:rPr>
        <w:rFonts w:ascii="Noto Sans Symbols" w:eastAsia="Noto Sans Symbols" w:hAnsi="Noto Sans Symbols" w:cs="Noto Sans Symbols"/>
      </w:rPr>
    </w:lvl>
  </w:abstractNum>
  <w:abstractNum w:abstractNumId="27" w15:restartNumberingAfterBreak="0">
    <w:nsid w:val="55810479"/>
    <w:multiLevelType w:val="hybridMultilevel"/>
    <w:tmpl w:val="FC980EFE"/>
    <w:lvl w:ilvl="0" w:tplc="040C0001">
      <w:start w:val="1"/>
      <w:numFmt w:val="bullet"/>
      <w:lvlText w:val=""/>
      <w:lvlJc w:val="left"/>
      <w:pPr>
        <w:ind w:left="915" w:hanging="360"/>
      </w:pPr>
      <w:rPr>
        <w:rFonts w:ascii="Symbol" w:hAnsi="Symbol"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abstractNum w:abstractNumId="28" w15:restartNumberingAfterBreak="0">
    <w:nsid w:val="5CB25014"/>
    <w:multiLevelType w:val="hybridMultilevel"/>
    <w:tmpl w:val="79869E08"/>
    <w:lvl w:ilvl="0" w:tplc="66AA220E">
      <w:start w:val="1"/>
      <w:numFmt w:val="decimal"/>
      <w:lvlText w:val="%1."/>
      <w:lvlJc w:val="left"/>
      <w:pPr>
        <w:ind w:left="360" w:hanging="360"/>
      </w:pPr>
      <w:rPr>
        <w:rFonts w:ascii="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DC46E89"/>
    <w:multiLevelType w:val="hybridMultilevel"/>
    <w:tmpl w:val="AEAA643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F661BD5"/>
    <w:multiLevelType w:val="hybridMultilevel"/>
    <w:tmpl w:val="5A0046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0EC015F"/>
    <w:multiLevelType w:val="multilevel"/>
    <w:tmpl w:val="99D4D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F23A12"/>
    <w:multiLevelType w:val="hybridMultilevel"/>
    <w:tmpl w:val="1534B638"/>
    <w:lvl w:ilvl="0" w:tplc="1B26FA96">
      <w:numFmt w:val="bullet"/>
      <w:lvlText w:val="-"/>
      <w:lvlJc w:val="left"/>
      <w:pPr>
        <w:ind w:left="720" w:hanging="360"/>
      </w:pPr>
      <w:rPr>
        <w:rFonts w:ascii="Calibri" w:eastAsia="Times New Roman" w:hAnsi="Calibri"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8A78FD"/>
    <w:multiLevelType w:val="multilevel"/>
    <w:tmpl w:val="94E6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7B0014"/>
    <w:multiLevelType w:val="hybridMultilevel"/>
    <w:tmpl w:val="60E6CA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863BE5"/>
    <w:multiLevelType w:val="multilevel"/>
    <w:tmpl w:val="DB80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3D730C"/>
    <w:multiLevelType w:val="hybridMultilevel"/>
    <w:tmpl w:val="7EAAACE0"/>
    <w:lvl w:ilvl="0" w:tplc="2EDAE2C0">
      <w:numFmt w:val="bullet"/>
      <w:lvlText w:val="-"/>
      <w:lvlJc w:val="left"/>
      <w:pPr>
        <w:ind w:left="720" w:hanging="360"/>
      </w:pPr>
      <w:rPr>
        <w:rFonts w:ascii="Garamond" w:eastAsiaTheme="minorHAnsi"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67412B"/>
    <w:multiLevelType w:val="multilevel"/>
    <w:tmpl w:val="8390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AE4549"/>
    <w:multiLevelType w:val="hybridMultilevel"/>
    <w:tmpl w:val="7332AB9E"/>
    <w:lvl w:ilvl="0" w:tplc="A6C6A19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E1368DB"/>
    <w:multiLevelType w:val="hybridMultilevel"/>
    <w:tmpl w:val="6FB63D42"/>
    <w:lvl w:ilvl="0" w:tplc="040C000F">
      <w:start w:val="1"/>
      <w:numFmt w:val="decimal"/>
      <w:lvlText w:val="%1."/>
      <w:lvlJc w:val="left"/>
      <w:pPr>
        <w:ind w:left="720" w:hanging="360"/>
      </w:pPr>
    </w:lvl>
    <w:lvl w:ilvl="1" w:tplc="040C0001">
      <w:start w:val="1"/>
      <w:numFmt w:val="bullet"/>
      <w:lvlText w:val=""/>
      <w:lvlJc w:val="left"/>
      <w:pPr>
        <w:ind w:left="1495"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35"/>
  </w:num>
  <w:num w:numId="3">
    <w:abstractNumId w:val="33"/>
  </w:num>
  <w:num w:numId="4">
    <w:abstractNumId w:val="4"/>
  </w:num>
  <w:num w:numId="5">
    <w:abstractNumId w:val="3"/>
  </w:num>
  <w:num w:numId="6">
    <w:abstractNumId w:val="9"/>
  </w:num>
  <w:num w:numId="7">
    <w:abstractNumId w:val="14"/>
  </w:num>
  <w:num w:numId="8">
    <w:abstractNumId w:val="10"/>
  </w:num>
  <w:num w:numId="9">
    <w:abstractNumId w:val="22"/>
  </w:num>
  <w:num w:numId="10">
    <w:abstractNumId w:val="20"/>
  </w:num>
  <w:num w:numId="11">
    <w:abstractNumId w:val="7"/>
  </w:num>
  <w:num w:numId="12">
    <w:abstractNumId w:val="34"/>
  </w:num>
  <w:num w:numId="13">
    <w:abstractNumId w:val="27"/>
  </w:num>
  <w:num w:numId="14">
    <w:abstractNumId w:val="13"/>
  </w:num>
  <w:num w:numId="15">
    <w:abstractNumId w:val="8"/>
  </w:num>
  <w:num w:numId="16">
    <w:abstractNumId w:val="16"/>
  </w:num>
  <w:num w:numId="17">
    <w:abstractNumId w:val="5"/>
  </w:num>
  <w:num w:numId="18">
    <w:abstractNumId w:val="36"/>
  </w:num>
  <w:num w:numId="19">
    <w:abstractNumId w:val="21"/>
  </w:num>
  <w:num w:numId="20">
    <w:abstractNumId w:val="15"/>
  </w:num>
  <w:num w:numId="21">
    <w:abstractNumId w:val="2"/>
  </w:num>
  <w:num w:numId="22">
    <w:abstractNumId w:val="30"/>
  </w:num>
  <w:num w:numId="23">
    <w:abstractNumId w:val="39"/>
  </w:num>
  <w:num w:numId="24">
    <w:abstractNumId w:val="28"/>
  </w:num>
  <w:num w:numId="25">
    <w:abstractNumId w:val="11"/>
  </w:num>
  <w:num w:numId="26">
    <w:abstractNumId w:val="38"/>
  </w:num>
  <w:num w:numId="27">
    <w:abstractNumId w:val="29"/>
  </w:num>
  <w:num w:numId="28">
    <w:abstractNumId w:val="23"/>
  </w:num>
  <w:num w:numId="29">
    <w:abstractNumId w:val="26"/>
  </w:num>
  <w:num w:numId="30">
    <w:abstractNumId w:val="31"/>
  </w:num>
  <w:num w:numId="31">
    <w:abstractNumId w:val="6"/>
  </w:num>
  <w:num w:numId="32">
    <w:abstractNumId w:val="17"/>
  </w:num>
  <w:num w:numId="33">
    <w:abstractNumId w:val="25"/>
  </w:num>
  <w:num w:numId="34">
    <w:abstractNumId w:val="12"/>
  </w:num>
  <w:num w:numId="35">
    <w:abstractNumId w:val="24"/>
  </w:num>
  <w:num w:numId="36">
    <w:abstractNumId w:val="37"/>
  </w:num>
  <w:num w:numId="37">
    <w:abstractNumId w:val="18"/>
  </w:num>
  <w:num w:numId="38">
    <w:abstractNumId w:val="3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E2A451-F40C-40B2-A178-A674F91F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000FF"/>
      <w:u w:val="single"/>
    </w:rPr>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suivivisit">
    <w:name w:val="FollowedHyperlink"/>
    <w:basedOn w:val="Policepardfaut"/>
    <w:uiPriority w:val="99"/>
    <w:semiHidden/>
    <w:unhideWhenUsed/>
    <w:rPr>
      <w:color w:val="954F72" w:themeColor="followedHyperlink"/>
      <w:u w:val="single"/>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uiPriority w:val="99"/>
    <w:qFormat/>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 w:type="character" w:customStyle="1" w:styleId="Titre1Car">
    <w:name w:val="Titre 1 Car"/>
    <w:basedOn w:val="Policepardfaut"/>
    <w:link w:val="Titre1"/>
    <w:uiPriority w:val="9"/>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Pr>
      <w:rFonts w:asciiTheme="majorHAnsi" w:eastAsiaTheme="majorEastAsia" w:hAnsiTheme="majorHAnsi" w:cstheme="majorBidi"/>
      <w:color w:val="2E74B5" w:themeColor="accent1" w:themeShade="BF"/>
      <w:sz w:val="26"/>
      <w:szCs w:val="26"/>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927">
      <w:bodyDiv w:val="1"/>
      <w:marLeft w:val="0"/>
      <w:marRight w:val="0"/>
      <w:marTop w:val="0"/>
      <w:marBottom w:val="0"/>
      <w:divBdr>
        <w:top w:val="none" w:sz="0" w:space="0" w:color="auto"/>
        <w:left w:val="none" w:sz="0" w:space="0" w:color="auto"/>
        <w:bottom w:val="none" w:sz="0" w:space="0" w:color="auto"/>
        <w:right w:val="none" w:sz="0" w:space="0" w:color="auto"/>
      </w:divBdr>
    </w:div>
    <w:div w:id="900481348">
      <w:bodyDiv w:val="1"/>
      <w:marLeft w:val="0"/>
      <w:marRight w:val="0"/>
      <w:marTop w:val="0"/>
      <w:marBottom w:val="0"/>
      <w:divBdr>
        <w:top w:val="none" w:sz="0" w:space="0" w:color="auto"/>
        <w:left w:val="none" w:sz="0" w:space="0" w:color="auto"/>
        <w:bottom w:val="none" w:sz="0" w:space="0" w:color="auto"/>
        <w:right w:val="none" w:sz="0" w:space="0" w:color="auto"/>
      </w:divBdr>
    </w:div>
    <w:div w:id="1278214669">
      <w:bodyDiv w:val="1"/>
      <w:marLeft w:val="0"/>
      <w:marRight w:val="0"/>
      <w:marTop w:val="0"/>
      <w:marBottom w:val="0"/>
      <w:divBdr>
        <w:top w:val="none" w:sz="0" w:space="0" w:color="auto"/>
        <w:left w:val="none" w:sz="0" w:space="0" w:color="auto"/>
        <w:bottom w:val="none" w:sz="0" w:space="0" w:color="auto"/>
        <w:right w:val="none" w:sz="0" w:space="0" w:color="auto"/>
      </w:divBdr>
    </w:div>
    <w:div w:id="1279336806">
      <w:bodyDiv w:val="1"/>
      <w:marLeft w:val="0"/>
      <w:marRight w:val="0"/>
      <w:marTop w:val="0"/>
      <w:marBottom w:val="0"/>
      <w:divBdr>
        <w:top w:val="none" w:sz="0" w:space="0" w:color="auto"/>
        <w:left w:val="none" w:sz="0" w:space="0" w:color="auto"/>
        <w:bottom w:val="none" w:sz="0" w:space="0" w:color="auto"/>
        <w:right w:val="none" w:sz="0" w:space="0" w:color="auto"/>
      </w:divBdr>
    </w:div>
    <w:div w:id="1593121704">
      <w:bodyDiv w:val="1"/>
      <w:marLeft w:val="0"/>
      <w:marRight w:val="0"/>
      <w:marTop w:val="0"/>
      <w:marBottom w:val="0"/>
      <w:divBdr>
        <w:top w:val="none" w:sz="0" w:space="0" w:color="auto"/>
        <w:left w:val="none" w:sz="0" w:space="0" w:color="auto"/>
        <w:bottom w:val="none" w:sz="0" w:space="0" w:color="auto"/>
        <w:right w:val="none" w:sz="0" w:space="0" w:color="auto"/>
      </w:divBdr>
    </w:div>
    <w:div w:id="1899129695">
      <w:bodyDiv w:val="1"/>
      <w:marLeft w:val="0"/>
      <w:marRight w:val="0"/>
      <w:marTop w:val="0"/>
      <w:marBottom w:val="0"/>
      <w:divBdr>
        <w:top w:val="none" w:sz="0" w:space="0" w:color="auto"/>
        <w:left w:val="none" w:sz="0" w:space="0" w:color="auto"/>
        <w:bottom w:val="none" w:sz="0" w:space="0" w:color="auto"/>
        <w:right w:val="none" w:sz="0" w:space="0" w:color="auto"/>
      </w:divBdr>
    </w:div>
    <w:div w:id="191080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company/ghu-par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hu-paris.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meo.com/307689792" TargetMode="External"/><Relationship Id="rId4" Type="http://schemas.openxmlformats.org/officeDocument/2006/relationships/settings" Target="settings.xml"/><Relationship Id="rId9" Type="http://schemas.openxmlformats.org/officeDocument/2006/relationships/hyperlink" Target="http://www.ghu-paris.fr/fr/2019-ght-devient-ghu-pari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ghu-paris.fr" TargetMode="External"/><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4.png"/><Relationship Id="rId4" Type="http://schemas.openxmlformats.org/officeDocument/2006/relationships/hyperlink" Target="http://www.ghu-pari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FDAF8-690F-4C35-BBC0-5D52FCF0E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1760</Words>
  <Characters>9683</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poste – Médecin investigateur CRC</dc:title>
  <dc:subject>Recrutement assistant spécialiste – Centre de Recherche Clinique</dc:subject>
  <dc:creator>SABIN Sophie</dc:creator>
  <cp:keywords>CRC, recherche clinique, médecin investigateur, assistant spécialiste, psychiatrie, neurologie</cp:keywords>
  <cp:lastModifiedBy>CUENCA MAIA Macarena</cp:lastModifiedBy>
  <cp:revision>4</cp:revision>
  <cp:lastPrinted>2022-02-15T07:53:00Z</cp:lastPrinted>
  <dcterms:created xsi:type="dcterms:W3CDTF">2026-08-31T08:44:00Z</dcterms:created>
  <dcterms:modified xsi:type="dcterms:W3CDTF">2026-10-14T14:18:00Z</dcterms:modified>
</cp:coreProperties>
</file>