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color w:val="008080"/>
        </w:rPr>
      </w:pPr>
      <w:bookmarkStart w:id="0" w:name="_Hlk201911040"/>
      <w:r>
        <w:rPr>
          <w:rFonts w:ascii="Century Gothic" w:hAnsi="Century Gothic"/>
          <w:b/>
          <w:color w:val="008080"/>
        </w:rPr>
        <w:t>POSTE ASSISTANT / PH / Praticien contractuel</w:t>
      </w:r>
    </w:p>
    <w:p>
      <w:pPr>
        <w:spacing w:after="0" w:line="240" w:lineRule="auto"/>
        <w:jc w:val="center"/>
        <w:rPr>
          <w:rFonts w:ascii="Century Gothic" w:hAnsi="Century Gothic"/>
          <w:b/>
          <w:color w:val="008080"/>
        </w:rPr>
      </w:pPr>
      <w:r>
        <w:rPr>
          <w:rFonts w:ascii="Century Gothic" w:hAnsi="Century Gothic"/>
          <w:b/>
          <w:color w:val="008080"/>
        </w:rPr>
        <w:t xml:space="preserve">- Psychiatrie Générale - POLE 75G25 (Paris 19) - </w:t>
      </w:r>
    </w:p>
    <w:bookmarkEnd w:id="0"/>
    <w:p>
      <w:pPr>
        <w:spacing w:after="0" w:line="240" w:lineRule="auto"/>
        <w:jc w:val="center"/>
        <w:rPr>
          <w:rFonts w:ascii="Century Gothic" w:hAnsi="Century Gothic"/>
          <w:b/>
          <w:color w:val="008080"/>
        </w:rPr>
      </w:pPr>
      <w:r>
        <w:rPr>
          <w:rFonts w:ascii="Century Gothic" w:hAnsi="Century Gothic"/>
          <w:b/>
          <w:color w:val="008080"/>
        </w:rPr>
        <w:t>CMP temps plein ou partagé avec l’intra</w:t>
      </w:r>
    </w:p>
    <w:p>
      <w:pPr>
        <w:spacing w:after="0" w:line="240" w:lineRule="auto"/>
        <w:jc w:val="center"/>
        <w:rPr>
          <w:rFonts w:ascii="Century Gothic" w:hAnsi="Century Gothic"/>
          <w:b/>
        </w:rPr>
      </w:pP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19"/>
                <w:szCs w:val="19"/>
              </w:rPr>
            </w:pPr>
            <w:r>
              <w:rPr>
                <w:rFonts w:ascii="Century Gothic" w:hAnsi="Century Gothic"/>
                <w:b/>
                <w:sz w:val="19"/>
                <w:szCs w:val="19"/>
              </w:rPr>
              <w:t xml:space="preserve">Statut </w:t>
            </w:r>
          </w:p>
        </w:tc>
        <w:tc>
          <w:tcPr>
            <w:tcW w:w="5806" w:type="dxa"/>
          </w:tcPr>
          <w:p>
            <w:pPr>
              <w:rPr>
                <w:rFonts w:ascii="Century Gothic" w:hAnsi="Century Gothic"/>
                <w:sz w:val="19"/>
                <w:szCs w:val="19"/>
              </w:rPr>
            </w:pPr>
            <w:r>
              <w:rPr>
                <w:rFonts w:ascii="Century Gothic" w:hAnsi="Century Gothic"/>
                <w:sz w:val="19"/>
                <w:szCs w:val="19"/>
              </w:rPr>
              <w:t>Assistant Spécialiste / Praticien contractuel / PH</w:t>
            </w:r>
          </w:p>
        </w:tc>
      </w:tr>
      <w:tr>
        <w:tc>
          <w:tcPr>
            <w:tcW w:w="3256" w:type="dxa"/>
          </w:tcPr>
          <w:p>
            <w:pPr>
              <w:rPr>
                <w:rFonts w:ascii="Century Gothic" w:hAnsi="Century Gothic"/>
                <w:b/>
                <w:sz w:val="19"/>
                <w:szCs w:val="19"/>
              </w:rPr>
            </w:pPr>
            <w:r>
              <w:rPr>
                <w:rFonts w:ascii="Century Gothic" w:hAnsi="Century Gothic"/>
                <w:b/>
                <w:sz w:val="19"/>
                <w:szCs w:val="19"/>
              </w:rPr>
              <w:t>Intitulé du poste</w:t>
            </w:r>
          </w:p>
        </w:tc>
        <w:tc>
          <w:tcPr>
            <w:tcW w:w="5806" w:type="dxa"/>
          </w:tcPr>
          <w:p>
            <w:pPr>
              <w:rPr>
                <w:rFonts w:ascii="Century Gothic" w:hAnsi="Century Gothic"/>
                <w:sz w:val="19"/>
                <w:szCs w:val="19"/>
              </w:rPr>
            </w:pPr>
            <w:r>
              <w:rPr>
                <w:rFonts w:ascii="Century Gothic" w:hAnsi="Century Gothic"/>
                <w:sz w:val="19"/>
                <w:szCs w:val="19"/>
              </w:rPr>
              <w:t xml:space="preserve">Médecin Psychiatre </w:t>
            </w:r>
          </w:p>
        </w:tc>
      </w:tr>
      <w:tr>
        <w:tc>
          <w:tcPr>
            <w:tcW w:w="3256" w:type="dxa"/>
          </w:tcPr>
          <w:p>
            <w:pPr>
              <w:rPr>
                <w:rFonts w:ascii="Century Gothic" w:hAnsi="Century Gothic"/>
                <w:b/>
                <w:sz w:val="19"/>
                <w:szCs w:val="19"/>
              </w:rPr>
            </w:pPr>
            <w:r>
              <w:rPr>
                <w:rFonts w:ascii="Century Gothic" w:hAnsi="Century Gothic"/>
                <w:b/>
                <w:sz w:val="19"/>
                <w:szCs w:val="19"/>
              </w:rPr>
              <w:t>Lieux de travail</w:t>
            </w:r>
          </w:p>
        </w:tc>
        <w:tc>
          <w:tcPr>
            <w:tcW w:w="5806" w:type="dxa"/>
          </w:tcPr>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- 130 bd Macdonald, 75019 Paris</w:t>
            </w:r>
          </w:p>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 xml:space="preserve">- 10-14 rue du Général Lasalle, 75019 Paris </w:t>
            </w:r>
          </w:p>
        </w:tc>
      </w:tr>
      <w:tr>
        <w:tc>
          <w:tcPr>
            <w:tcW w:w="3256" w:type="dxa"/>
          </w:tcPr>
          <w:p>
            <w:pPr>
              <w:rPr>
                <w:rFonts w:ascii="Century Gothic" w:hAnsi="Century Gothic"/>
                <w:b/>
                <w:sz w:val="19"/>
                <w:szCs w:val="19"/>
              </w:rPr>
            </w:pPr>
            <w:r>
              <w:rPr>
                <w:rFonts w:ascii="Century Gothic" w:hAnsi="Century Gothic"/>
                <w:b/>
                <w:sz w:val="19"/>
                <w:szCs w:val="19"/>
              </w:rPr>
              <w:t>Organisation du travail</w:t>
            </w:r>
          </w:p>
        </w:tc>
        <w:tc>
          <w:tcPr>
            <w:tcW w:w="5806" w:type="dxa"/>
          </w:tcPr>
          <w:p>
            <w:pPr>
              <w:rPr>
                <w:rFonts w:ascii="Century Gothic" w:hAnsi="Century Gothic"/>
                <w:sz w:val="19"/>
                <w:szCs w:val="19"/>
              </w:rPr>
            </w:pPr>
            <w:r>
              <w:rPr>
                <w:rFonts w:ascii="Century Gothic" w:hAnsi="Century Gothic"/>
                <w:sz w:val="19"/>
                <w:szCs w:val="19"/>
              </w:rPr>
              <w:t>Le poste proposé est modulable : soit CMP temps plein, soit partagé avec l’intra (8 demi-journées en intra, 2 demi-journées au CMP)</w:t>
            </w:r>
          </w:p>
          <w:p>
            <w:pPr>
              <w:rPr>
                <w:rFonts w:ascii="Century Gothic" w:hAnsi="Century Gothic"/>
                <w:sz w:val="19"/>
                <w:szCs w:val="19"/>
              </w:rPr>
            </w:pPr>
            <w:r>
              <w:rPr>
                <w:rFonts w:ascii="Century Gothic" w:hAnsi="Century Gothic"/>
                <w:sz w:val="19"/>
                <w:szCs w:val="19"/>
              </w:rPr>
              <w:t>Vous participerez à la permanence des soins du site d’hospitalisation (1 à 3 gardes par mois, sur Lasalle).</w:t>
            </w:r>
          </w:p>
        </w:tc>
      </w:tr>
      <w:tr>
        <w:tc>
          <w:tcPr>
            <w:tcW w:w="3256" w:type="dxa"/>
          </w:tcPr>
          <w:p>
            <w:pPr>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overflowPunct w:val="0"/>
              <w:autoSpaceDE w:val="0"/>
              <w:autoSpaceDN w:val="0"/>
              <w:adjustRightInd w:val="0"/>
              <w:textAlignment w:val="baseline"/>
              <w:rPr>
                <w:rFonts w:ascii="Century Gothic" w:hAnsi="Century Gothic"/>
                <w:sz w:val="19"/>
                <w:szCs w:val="19"/>
              </w:rPr>
            </w:pPr>
            <w:r>
              <w:rPr>
                <w:rFonts w:ascii="Century Gothic" w:hAnsi="Century Gothic"/>
                <w:sz w:val="19"/>
                <w:szCs w:val="19"/>
              </w:rPr>
              <w:t>Psychiatrie - Intérêt pour la pratique de secteur</w:t>
            </w:r>
          </w:p>
        </w:tc>
      </w:tr>
      <w:tr>
        <w:tc>
          <w:tcPr>
            <w:tcW w:w="3256" w:type="dxa"/>
          </w:tcPr>
          <w:p>
            <w:pPr>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rPr>
                <w:rFonts w:ascii="Century Gothic" w:hAnsi="Century Gothic"/>
                <w:sz w:val="19"/>
                <w:szCs w:val="19"/>
              </w:rPr>
            </w:pPr>
            <w:proofErr w:type="gramStart"/>
            <w:r>
              <w:rPr>
                <w:rFonts w:ascii="Century Gothic" w:hAnsi="Century Gothic"/>
                <w:sz w:val="19"/>
                <w:szCs w:val="19"/>
              </w:rPr>
              <w:t>dès</w:t>
            </w:r>
            <w:proofErr w:type="gramEnd"/>
            <w:r>
              <w:rPr>
                <w:rFonts w:ascii="Century Gothic" w:hAnsi="Century Gothic"/>
                <w:sz w:val="19"/>
                <w:szCs w:val="19"/>
              </w:rPr>
              <w:t xml:space="preserve"> maintenant et au plus tard fin 2026</w:t>
            </w:r>
          </w:p>
        </w:tc>
      </w:tr>
      <w:tr>
        <w:trPr>
          <w:trHeight w:val="58"/>
        </w:trPr>
        <w:tc>
          <w:tcPr>
            <w:tcW w:w="3256" w:type="dxa"/>
          </w:tcPr>
          <w:p>
            <w:pPr>
              <w:rPr>
                <w:rFonts w:ascii="Century Gothic" w:hAnsi="Century Gothic"/>
                <w:b/>
                <w:sz w:val="19"/>
                <w:szCs w:val="19"/>
              </w:rPr>
            </w:pPr>
            <w:r>
              <w:rPr>
                <w:rFonts w:ascii="Century Gothic" w:hAnsi="Century Gothic"/>
                <w:b/>
                <w:sz w:val="19"/>
                <w:szCs w:val="19"/>
              </w:rPr>
              <w:t>Candidatures à adresser</w:t>
            </w:r>
          </w:p>
        </w:tc>
        <w:tc>
          <w:tcPr>
            <w:tcW w:w="5806" w:type="dxa"/>
          </w:tcPr>
          <w:p>
            <w:pPr>
              <w:rPr>
                <w:rFonts w:ascii="Century Gothic" w:hAnsi="Century Gothic"/>
                <w:sz w:val="19"/>
                <w:szCs w:val="19"/>
              </w:rPr>
            </w:pPr>
            <w:r>
              <w:rPr>
                <w:rFonts w:ascii="Century Gothic" w:hAnsi="Century Gothic"/>
                <w:sz w:val="19"/>
                <w:szCs w:val="19"/>
              </w:rPr>
              <w:t xml:space="preserve">Chef de Pôle : Dr Gilles MARTINEZ – </w:t>
            </w:r>
            <w:hyperlink r:id="rId12" w:history="1">
              <w:r>
                <w:rPr>
                  <w:rStyle w:val="Lienhypertexte"/>
                  <w:rFonts w:ascii="Century Gothic" w:hAnsi="Century Gothic"/>
                  <w:sz w:val="19"/>
                  <w:szCs w:val="19"/>
                </w:rPr>
                <w:t>gilles.martinez@ghu-paris.fr</w:t>
              </w:r>
            </w:hyperlink>
            <w:r>
              <w:rPr>
                <w:rFonts w:ascii="Century Gothic" w:hAnsi="Century Gothic"/>
                <w:sz w:val="19"/>
                <w:szCs w:val="19"/>
              </w:rPr>
              <w:t xml:space="preserve"> – Accueil Tél. : 01 80 96 55 00</w:t>
            </w:r>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3"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4"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u w:val="none"/>
        </w:rPr>
      </w:pPr>
      <w:r>
        <w:rPr>
          <w:rStyle w:val="Lienhypertexte"/>
          <w:rFonts w:ascii="Century Gothic" w:hAnsi="Century Gothic"/>
          <w:color w:val="555E5E"/>
          <w:u w:val="none"/>
        </w:rPr>
        <w:t xml:space="preserve">Rejoindre le GHU Paris, c’est intégrer une communauté hospitalière engagée qui prend soin des professionnels qui prennent soin des patients. </w:t>
      </w:r>
      <w:hyperlink r:id="rId15" w:history="1">
        <w:r>
          <w:rPr>
            <w:rStyle w:val="Lienhypertexte"/>
            <w:rFonts w:ascii="Century Gothic" w:hAnsi="Century Gothic"/>
          </w:rPr>
          <w:t>#jechoisisleGhuParis</w:t>
        </w:r>
      </w:hyperlink>
    </w:p>
    <w:p>
      <w:pPr>
        <w:spacing w:after="0" w:line="240" w:lineRule="auto"/>
        <w:jc w:val="both"/>
        <w:rPr>
          <w:rStyle w:val="Lienhypertexte"/>
          <w:rFonts w:ascii="Century Gothic" w:hAnsi="Century Gothic"/>
          <w:color w:val="555E5E"/>
        </w:rPr>
      </w:pPr>
      <w:hyperlink r:id="rId16" w:history="1">
        <w:r>
          <w:rPr>
            <w:rStyle w:val="Lienhypertexte"/>
            <w:rFonts w:ascii="Century Gothic" w:hAnsi="Century Gothic"/>
          </w:rPr>
          <w:t>www.ghu-paris.fr</w:t>
        </w:r>
      </w:hyperlink>
      <w:r>
        <w:rPr>
          <w:rStyle w:val="Lienhypertexte"/>
          <w:rFonts w:ascii="Century Gothic" w:hAnsi="Century Gothic"/>
          <w:color w:val="555E5E"/>
        </w:rPr>
        <w:t xml:space="preserve"> / LinkedIn </w:t>
      </w:r>
      <w:hyperlink r:id="rId17" w:history="1">
        <w:proofErr w:type="spellStart"/>
        <w:r>
          <w:rPr>
            <w:rStyle w:val="Lienhypertexte"/>
            <w:rFonts w:ascii="Century Gothic" w:hAnsi="Century Gothic"/>
          </w:rPr>
          <w:t>Ghu</w:t>
        </w:r>
        <w:proofErr w:type="spellEnd"/>
        <w:r>
          <w:rPr>
            <w:rStyle w:val="Lienhypertexte"/>
            <w:rFonts w:ascii="Century Gothic" w:hAnsi="Century Gothic"/>
          </w:rPr>
          <w:t xml:space="preserve">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Fonts w:ascii="Century Gothic" w:hAnsi="Century Gothic"/>
          <w:color w:val="555E5E"/>
        </w:rPr>
      </w:pPr>
    </w:p>
    <w:p>
      <w:pPr>
        <w:spacing w:after="0" w:line="240" w:lineRule="auto"/>
        <w:jc w:val="both"/>
        <w:rPr>
          <w:rFonts w:ascii="Century Gothic" w:hAnsi="Century Gothic"/>
          <w:color w:val="555E5E"/>
        </w:rPr>
      </w:pPr>
      <w:r>
        <w:rPr>
          <w:rFonts w:ascii="Century Gothic" w:hAnsi="Century Gothic"/>
          <w:color w:val="555E5E"/>
        </w:rPr>
        <w:t>Le GHU Paris s’engage pour une politique inclusive, tous les postes sont ouverts aux candidats en situation de handicap. </w:t>
      </w: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color w:val="008080"/>
          <w:sz w:val="20"/>
          <w:szCs w:val="20"/>
          <w:lang w:eastAsia="fr-FR"/>
        </w:rPr>
      </w:pPr>
    </w:p>
    <w:p>
      <w:pPr>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br w:type="page"/>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lastRenderedPageBreak/>
        <w:t>DESCRIPTION DU PÔLE/SERVICE</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hAnsi="Century Gothic"/>
        </w:rPr>
      </w:pPr>
      <w:r>
        <w:rPr>
          <w:rFonts w:ascii="Century Gothic" w:hAnsi="Century Gothic"/>
        </w:rPr>
        <w:t xml:space="preserve">Le pôle 75G25 recherche un Assistant Spécialiste / </w:t>
      </w:r>
      <w:r>
        <w:rPr>
          <w:rFonts w:ascii="Century Gothic" w:hAnsi="Century Gothic"/>
        </w:rPr>
        <w:t>Praticien contractuel</w:t>
      </w:r>
      <w:r>
        <w:rPr>
          <w:rFonts w:ascii="Century Gothic" w:hAnsi="Century Gothic"/>
        </w:rPr>
        <w:t xml:space="preserve"> / PH pour un poste CMP temps plein, ou partagé avec l’intra. Le poste est à pourvoir dès maintenant et au plus tard fin 2026.</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Le pôle répond aux besoins de soins psychiatriques de la population adulte du nord du 19ème arrondissement</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Le service se compose :</w:t>
      </w:r>
    </w:p>
    <w:p>
      <w:pPr>
        <w:spacing w:after="0" w:line="240" w:lineRule="auto"/>
        <w:rPr>
          <w:rFonts w:ascii="Century Gothic" w:hAnsi="Century Gothic"/>
        </w:rPr>
      </w:pPr>
      <w:r>
        <w:rPr>
          <w:rFonts w:ascii="Century Gothic" w:hAnsi="Century Gothic"/>
        </w:rPr>
        <w:t>-</w:t>
      </w:r>
      <w:r>
        <w:rPr>
          <w:rFonts w:ascii="Century Gothic" w:hAnsi="Century Gothic"/>
        </w:rPr>
        <w:tab/>
        <w:t>du CMP Rosa Parks qui vient de s’installer dans de très beaux nouveaux locaux (130 bd Macdonald), facilement accessible en transports</w:t>
      </w:r>
    </w:p>
    <w:p>
      <w:pPr>
        <w:spacing w:after="0" w:line="240" w:lineRule="auto"/>
        <w:rPr>
          <w:rFonts w:ascii="Century Gothic" w:hAnsi="Century Gothic"/>
        </w:rPr>
      </w:pPr>
      <w:r>
        <w:rPr>
          <w:rFonts w:ascii="Century Gothic" w:hAnsi="Century Gothic"/>
        </w:rPr>
        <w:t>-</w:t>
      </w:r>
      <w:r>
        <w:rPr>
          <w:rFonts w:ascii="Century Gothic" w:hAnsi="Century Gothic"/>
        </w:rPr>
        <w:tab/>
        <w:t xml:space="preserve">de </w:t>
      </w:r>
      <w:proofErr w:type="spellStart"/>
      <w:r>
        <w:rPr>
          <w:rFonts w:ascii="Century Gothic" w:hAnsi="Century Gothic"/>
        </w:rPr>
        <w:t>NineTeen</w:t>
      </w:r>
      <w:proofErr w:type="spellEnd"/>
      <w:r>
        <w:rPr>
          <w:rFonts w:ascii="Century Gothic" w:hAnsi="Century Gothic"/>
        </w:rPr>
        <w:t xml:space="preserve"> : une consultation de repérage, évaluation et intervention précoce dans les troubles émergents pour les 16-25 ans résidant dans le 19ème arrdt (également au 130 bd Macdonald)</w:t>
      </w:r>
    </w:p>
    <w:p>
      <w:pPr>
        <w:spacing w:after="0" w:line="240" w:lineRule="auto"/>
        <w:rPr>
          <w:rFonts w:ascii="Century Gothic" w:hAnsi="Century Gothic"/>
        </w:rPr>
      </w:pPr>
      <w:r>
        <w:rPr>
          <w:rFonts w:ascii="Century Gothic" w:hAnsi="Century Gothic"/>
        </w:rPr>
        <w:t>-</w:t>
      </w:r>
      <w:r>
        <w:rPr>
          <w:rFonts w:ascii="Century Gothic" w:hAnsi="Century Gothic"/>
        </w:rPr>
        <w:tab/>
        <w:t>d’un site d’hospitalisation Lasalle commun avec le Pôle 26, rue du Général Lasalle Paris 19ème, au cœur de Belleville et de ses restaurants (!) comportant deux unités d’hospitalisation de 29 lits et un espace d’apaisement chacune, une unité d’accueil intersectorielle ouverte en continu et dotée de deux lits d’hospitalité, une équipe de soins somatique et une pharmacie</w:t>
      </w:r>
    </w:p>
    <w:p>
      <w:pPr>
        <w:spacing w:after="0" w:line="240" w:lineRule="auto"/>
        <w:rPr>
          <w:rFonts w:ascii="Century Gothic" w:hAnsi="Century Gothic"/>
        </w:rPr>
      </w:pPr>
      <w:r>
        <w:rPr>
          <w:rFonts w:ascii="Century Gothic" w:hAnsi="Century Gothic"/>
        </w:rPr>
        <w:t>-</w:t>
      </w:r>
      <w:r>
        <w:rPr>
          <w:rFonts w:ascii="Century Gothic" w:hAnsi="Century Gothic"/>
        </w:rPr>
        <w:tab/>
        <w:t>du CATTP La Comète (rue de Thionville Paris 19ème, au bord du Canal de l’Ourcq) qui sera complété par un HDJ, dont le projet est en cours de co-construction par les équipes, pour une ouverture fin 2025</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L’équipe médicale du pôle, au complet quand vous nous aurez rejoint, se compose majoritairement de jeunes médecins dynamiques et enthousiastes : PH, assistants, internes et un externe. </w:t>
      </w:r>
    </w:p>
    <w:p>
      <w:pPr>
        <w:spacing w:after="0" w:line="240" w:lineRule="auto"/>
        <w:rPr>
          <w:rFonts w:ascii="Century Gothic" w:hAnsi="Century Gothic"/>
        </w:rPr>
      </w:pPr>
      <w:r>
        <w:rPr>
          <w:rFonts w:ascii="Century Gothic" w:hAnsi="Century Gothic"/>
        </w:rPr>
        <w:t xml:space="preserve">Au sein des équipes pluridisciplinaires, la convivialité et la solidarité sont des valeurs qui nous tiennent particulièrement à cœur.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Le pôle 25 appartient au GHU Paris Psychiatrie et Neuroscience, ce qui permet un accès facilité à ses structures d’évaluation et de soins de recours ou spécialisées : Fédération de neurostimulation, Hôpitaux de Jour, Plateforme de Réhabilitation Psychosociale et de Remédiation Cognitive, Plateforme d’ETP, Pôle de neurosciences et plateaux d’imagerie…</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POSTE</w:t>
      </w:r>
    </w:p>
    <w:p>
      <w:pPr>
        <w:spacing w:after="0" w:line="240" w:lineRule="auto"/>
        <w:rPr>
          <w:rFonts w:ascii="Century Gothic" w:eastAsia="Times New Roman" w:hAnsi="Century Gothic" w:cstheme="minorHAnsi"/>
          <w:b/>
          <w:lang w:eastAsia="fr-FR"/>
        </w:rPr>
      </w:pPr>
    </w:p>
    <w:p>
      <w:pPr>
        <w:spacing w:after="0" w:line="240" w:lineRule="auto"/>
        <w:rPr>
          <w:rFonts w:ascii="Century Gothic" w:hAnsi="Century Gothic" w:cstheme="minorHAnsi"/>
          <w:color w:val="000000"/>
        </w:rPr>
      </w:pPr>
      <w:r>
        <w:rPr>
          <w:rFonts w:ascii="Century Gothic" w:hAnsi="Century Gothic" w:cstheme="minorHAnsi"/>
          <w:color w:val="000000"/>
        </w:rPr>
        <w:t>Le poste proposé est modulable : soit CMP temps plein, soit partagé avec l’intra (8 demi-journées en intra, 2 demi-journées au CMP)</w:t>
      </w:r>
    </w:p>
    <w:p>
      <w:pPr>
        <w:spacing w:after="0" w:line="240" w:lineRule="auto"/>
        <w:rPr>
          <w:rFonts w:ascii="Century Gothic" w:hAnsi="Century Gothic" w:cstheme="minorHAnsi"/>
          <w:color w:val="000000"/>
        </w:rPr>
      </w:pPr>
      <w:r>
        <w:rPr>
          <w:rFonts w:ascii="Century Gothic" w:hAnsi="Century Gothic" w:cstheme="minorHAnsi"/>
          <w:color w:val="000000"/>
        </w:rPr>
        <w:t xml:space="preserve">Vous participerez à la permanence des soins du site d’hospitalisation (1 à 3 gardes par mois, sur Lasalle). </w:t>
      </w:r>
    </w:p>
    <w:p>
      <w:pPr>
        <w:spacing w:after="0" w:line="240" w:lineRule="auto"/>
        <w:rPr>
          <w:rFonts w:ascii="Century Gothic" w:hAnsi="Century Gothic" w:cstheme="minorHAnsi"/>
          <w:color w:val="000000"/>
        </w:rPr>
      </w:pPr>
    </w:p>
    <w:p>
      <w:pPr>
        <w:spacing w:after="0" w:line="240" w:lineRule="auto"/>
        <w:rPr>
          <w:rFonts w:ascii="Century Gothic" w:hAnsi="Century Gothic" w:cstheme="minorHAnsi"/>
          <w:color w:val="000000"/>
        </w:rPr>
      </w:pPr>
      <w:r>
        <w:rPr>
          <w:rFonts w:ascii="Century Gothic" w:hAnsi="Century Gothic" w:cstheme="minorHAnsi"/>
          <w:color w:val="000000"/>
        </w:rPr>
        <w:lastRenderedPageBreak/>
        <w:t>Vous serez également invité à :</w:t>
      </w:r>
    </w:p>
    <w:p>
      <w:pPr>
        <w:spacing w:after="0" w:line="240" w:lineRule="auto"/>
        <w:rPr>
          <w:rFonts w:ascii="Century Gothic" w:hAnsi="Century Gothic" w:cstheme="minorHAnsi"/>
          <w:color w:val="000000"/>
        </w:rPr>
      </w:pPr>
      <w:r>
        <w:rPr>
          <w:rFonts w:ascii="Century Gothic" w:hAnsi="Century Gothic" w:cstheme="minorHAnsi"/>
          <w:color w:val="000000"/>
        </w:rPr>
        <w:t>-</w:t>
      </w:r>
      <w:r>
        <w:rPr>
          <w:rFonts w:ascii="Century Gothic" w:hAnsi="Century Gothic" w:cstheme="minorHAnsi"/>
          <w:color w:val="000000"/>
        </w:rPr>
        <w:tab/>
        <w:t>à continuer à vous former, avec le soutien financier du pôle (congrès, DU)</w:t>
      </w:r>
    </w:p>
    <w:p>
      <w:pPr>
        <w:spacing w:after="0" w:line="240" w:lineRule="auto"/>
        <w:rPr>
          <w:rFonts w:ascii="Century Gothic" w:hAnsi="Century Gothic" w:cstheme="minorHAnsi"/>
          <w:color w:val="000000"/>
        </w:rPr>
      </w:pPr>
      <w:r>
        <w:rPr>
          <w:rFonts w:ascii="Century Gothic" w:hAnsi="Century Gothic" w:cstheme="minorHAnsi"/>
          <w:color w:val="000000"/>
        </w:rPr>
        <w:t>-</w:t>
      </w:r>
      <w:r>
        <w:rPr>
          <w:rFonts w:ascii="Century Gothic" w:hAnsi="Century Gothic" w:cstheme="minorHAnsi"/>
          <w:color w:val="000000"/>
        </w:rPr>
        <w:tab/>
        <w:t>participer au Séminaire du 19ème (réunion de formation bimensuelles alternant présentations thématiques et séances de bibliographie)</w:t>
      </w:r>
    </w:p>
    <w:p>
      <w:pPr>
        <w:spacing w:after="0" w:line="240" w:lineRule="auto"/>
        <w:rPr>
          <w:rFonts w:ascii="Century Gothic" w:hAnsi="Century Gothic" w:cstheme="minorHAnsi"/>
          <w:color w:val="000000"/>
        </w:rPr>
      </w:pPr>
      <w:r>
        <w:rPr>
          <w:rFonts w:ascii="Century Gothic" w:hAnsi="Century Gothic" w:cstheme="minorHAnsi"/>
          <w:color w:val="000000"/>
        </w:rPr>
        <w:t>-</w:t>
      </w:r>
      <w:r>
        <w:rPr>
          <w:rFonts w:ascii="Century Gothic" w:hAnsi="Century Gothic" w:cstheme="minorHAnsi"/>
          <w:color w:val="000000"/>
        </w:rPr>
        <w:tab/>
        <w:t>participer selon votre souhait à la vie institutionnelle et aux activités de recherche et d’enseignement du Pôle ou du GHU Paris.</w:t>
      </w:r>
    </w:p>
    <w:p>
      <w:pPr>
        <w:spacing w:after="0" w:line="240" w:lineRule="auto"/>
        <w:rPr>
          <w:rFonts w:ascii="Century Gothic" w:eastAsia="Times New Roman" w:hAnsi="Century Gothic" w:cs="Times New Roman"/>
          <w:sz w:val="18"/>
          <w:szCs w:val="18"/>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rPr>
          <w:rFonts w:ascii="Century Gothic" w:hAnsi="Century Gothic"/>
        </w:rPr>
      </w:pPr>
    </w:p>
    <w:p>
      <w:pPr>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Soit directement gilles.martinez@ghu-paris.fr</w:t>
      </w:r>
    </w:p>
    <w:p>
      <w:pPr>
        <w:rPr>
          <w:rFonts w:ascii="Century Gothic" w:hAnsi="Century Gothic"/>
          <w:sz w:val="28"/>
          <w:szCs w:val="28"/>
        </w:rPr>
      </w:pPr>
      <w:r>
        <w:rPr>
          <w:rFonts w:ascii="Century Gothic" w:hAnsi="Century Gothic" w:cs="Century Gothic"/>
          <w:color w:val="000000"/>
        </w:rPr>
        <w:t>-</w:t>
      </w:r>
      <w:r>
        <w:rPr>
          <w:rFonts w:ascii="Century Gothic" w:hAnsi="Century Gothic" w:cs="Century Gothic"/>
          <w:color w:val="000000"/>
        </w:rPr>
        <w:tab/>
        <w:t>Soit un des médecins du pôle pour vous faire une première idée !</w:t>
      </w:r>
    </w:p>
    <w:sectPr>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00"/>
    <w:multiLevelType w:val="hybridMultilevel"/>
    <w:tmpl w:val="1CEE30EC"/>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3189"/>
    <w:multiLevelType w:val="multilevel"/>
    <w:tmpl w:val="00D2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97F50"/>
    <w:multiLevelType w:val="hybridMultilevel"/>
    <w:tmpl w:val="C8C4B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36BEC"/>
    <w:multiLevelType w:val="multilevel"/>
    <w:tmpl w:val="DE7E04CE"/>
    <w:lvl w:ilvl="0">
      <w:start w:val="1"/>
      <w:numFmt w:val="decimal"/>
      <w:lvlText w:val="%1-"/>
      <w:lvlJc w:val="left"/>
      <w:pPr>
        <w:ind w:left="360" w:hanging="360"/>
      </w:pPr>
      <w:rPr>
        <w:rFonts w:hint="default"/>
      </w:rPr>
    </w:lvl>
    <w:lvl w:ilvl="1">
      <w:numFmt w:val="bullet"/>
      <w:lvlText w:val="-"/>
      <w:lvlJc w:val="left"/>
      <w:pPr>
        <w:ind w:left="720" w:hanging="360"/>
      </w:pPr>
      <w:rPr>
        <w:rFonts w:ascii="Garamond" w:eastAsiaTheme="minorHAnsi" w:hAnsi="Garamond"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755C7"/>
    <w:multiLevelType w:val="hybridMultilevel"/>
    <w:tmpl w:val="0518A20C"/>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56EEC"/>
    <w:multiLevelType w:val="hybridMultilevel"/>
    <w:tmpl w:val="6AE8E53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320D1B"/>
    <w:multiLevelType w:val="hybridMultilevel"/>
    <w:tmpl w:val="F944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776C5"/>
    <w:multiLevelType w:val="hybridMultilevel"/>
    <w:tmpl w:val="E898CB8E"/>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D0E10"/>
    <w:multiLevelType w:val="hybridMultilevel"/>
    <w:tmpl w:val="FDEE3DA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6776B3"/>
    <w:multiLevelType w:val="hybridMultilevel"/>
    <w:tmpl w:val="F2C63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846D3F"/>
    <w:multiLevelType w:val="hybridMultilevel"/>
    <w:tmpl w:val="3AA89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2"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22"/>
  </w:num>
  <w:num w:numId="4">
    <w:abstractNumId w:val="2"/>
  </w:num>
  <w:num w:numId="5">
    <w:abstractNumId w:val="1"/>
  </w:num>
  <w:num w:numId="6">
    <w:abstractNumId w:val="6"/>
  </w:num>
  <w:num w:numId="7">
    <w:abstractNumId w:val="14"/>
  </w:num>
  <w:num w:numId="8">
    <w:abstractNumId w:val="9"/>
  </w:num>
  <w:num w:numId="9">
    <w:abstractNumId w:val="20"/>
  </w:num>
  <w:num w:numId="10">
    <w:abstractNumId w:val="17"/>
  </w:num>
  <w:num w:numId="11">
    <w:abstractNumId w:val="4"/>
  </w:num>
  <w:num w:numId="12">
    <w:abstractNumId w:val="23"/>
  </w:num>
  <w:num w:numId="13">
    <w:abstractNumId w:val="21"/>
  </w:num>
  <w:num w:numId="14">
    <w:abstractNumId w:val="13"/>
  </w:num>
  <w:num w:numId="15">
    <w:abstractNumId w:val="5"/>
  </w:num>
  <w:num w:numId="16">
    <w:abstractNumId w:val="19"/>
  </w:num>
  <w:num w:numId="17">
    <w:abstractNumId w:val="11"/>
  </w:num>
  <w:num w:numId="18">
    <w:abstractNumId w:val="18"/>
  </w:num>
  <w:num w:numId="19">
    <w:abstractNumId w:val="0"/>
  </w:num>
  <w:num w:numId="20">
    <w:abstractNumId w:val="3"/>
  </w:num>
  <w:num w:numId="21">
    <w:abstractNumId w:val="12"/>
  </w:num>
  <w:num w:numId="22">
    <w:abstractNumId w:val="7"/>
  </w:num>
  <w:num w:numId="23">
    <w:abstractNumId w:val="15"/>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5Car">
    <w:name w:val="Titre 5 Car"/>
    <w:basedOn w:val="Policepardfaut"/>
    <w:link w:val="Titre5"/>
    <w:uiPriority w:val="9"/>
    <w:rPr>
      <w:rFonts w:ascii="Times New Roman" w:eastAsia="Times New Roman" w:hAnsi="Times New Roman" w:cs="Times New Roman"/>
      <w:b/>
      <w:bCs/>
      <w:sz w:val="20"/>
      <w:szCs w:val="20"/>
      <w:lang w:eastAsia="fr-FR"/>
    </w:rPr>
  </w:style>
  <w:style w:type="character" w:styleId="lev">
    <w:name w:val="Strong"/>
    <w:basedOn w:val="Policepardfaut"/>
    <w:uiPriority w:val="22"/>
    <w:qFormat/>
    <w:rPr>
      <w:b/>
      <w:bCs/>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 w:id="18659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hu-paris.fr/fr/2019-ght-devient-ghu-par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lles.martinez@ghu-paris.fr" TargetMode="External"/><Relationship Id="rId17" Type="http://schemas.openxmlformats.org/officeDocument/2006/relationships/hyperlink" Target="https://www.linkedin.com/company/ghu-paris/" TargetMode="External"/><Relationship Id="rId2" Type="http://schemas.openxmlformats.org/officeDocument/2006/relationships/customXml" Target="../customXml/item2.xml"/><Relationship Id="rId16" Type="http://schemas.openxmlformats.org/officeDocument/2006/relationships/hyperlink" Target="http://www.ghu-paris.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hu-paris.fr/fr/le-ghu-paris-recrute-rejoignez-nous-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307689792"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FB6F75D501047A51DDE3577EB4688" ma:contentTypeVersion="12" ma:contentTypeDescription="Crée un document." ma:contentTypeScope="" ma:versionID="cb83f0ed7d39642a8705edb58cf5d172">
  <xsd:schema xmlns:xsd="http://www.w3.org/2001/XMLSchema" xmlns:xs="http://www.w3.org/2001/XMLSchema" xmlns:p="http://schemas.microsoft.com/office/2006/metadata/properties" xmlns:ns2="8e6cc563-bf01-40f1-afcd-6e8854baaa7a" xmlns:ns3="f92b1a2b-e640-4cde-9745-6c56e5f179ab" targetNamespace="http://schemas.microsoft.com/office/2006/metadata/properties" ma:root="true" ma:fieldsID="ac171713e48912f7a98965f527fb17ce" ns2:_="" ns3:_="">
    <xsd:import namespace="8e6cc563-bf01-40f1-afcd-6e8854baaa7a"/>
    <xsd:import namespace="f92b1a2b-e640-4cde-9745-6c56e5f17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c563-bf01-40f1-afcd-6e8854ba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c3d124-0429-4acf-9a17-34139c3c40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b1a2b-e640-4cde-9745-6c56e5f17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123627-3413-4d1f-9e4a-a4f06e213f84}" ma:internalName="TaxCatchAll" ma:showField="CatchAllData" ma:web="f92b1a2b-e640-4cde-9745-6c56e5f17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b1a2b-e640-4cde-9745-6c56e5f179ab" xsi:nil="true"/>
    <lcf76f155ced4ddcb4097134ff3c332f xmlns="8e6cc563-bf01-40f1-afcd-6e8854baaa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2F83-1471-4099-AAAC-F5F2D97C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c563-bf01-40f1-afcd-6e8854baaa7a"/>
    <ds:schemaRef ds:uri="f92b1a2b-e640-4cde-9745-6c56e5f17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7DADD-281A-41C5-AB70-7188AE9AC467}">
  <ds:schemaRefs>
    <ds:schemaRef ds:uri="http://schemas.microsoft.com/sharepoint/v3/contenttype/forms"/>
  </ds:schemaRefs>
</ds:datastoreItem>
</file>

<file path=customXml/itemProps3.xml><?xml version="1.0" encoding="utf-8"?>
<ds:datastoreItem xmlns:ds="http://schemas.openxmlformats.org/officeDocument/2006/customXml" ds:itemID="{386E4888-D80F-442C-AE25-7A6E2D0B13D5}">
  <ds:schemaRefs>
    <ds:schemaRef ds:uri="http://schemas.microsoft.com/office/2006/metadata/properties"/>
    <ds:schemaRef ds:uri="http://schemas.microsoft.com/office/infopath/2007/PartnerControls"/>
    <ds:schemaRef ds:uri="f92b1a2b-e640-4cde-9745-6c56e5f179ab"/>
    <ds:schemaRef ds:uri="8e6cc563-bf01-40f1-afcd-6e8854baaa7a"/>
  </ds:schemaRefs>
</ds:datastoreItem>
</file>

<file path=customXml/itemProps4.xml><?xml version="1.0" encoding="utf-8"?>
<ds:datastoreItem xmlns:ds="http://schemas.openxmlformats.org/officeDocument/2006/customXml" ds:itemID="{73A1FB41-A41B-41AD-BC22-0B410087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4362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 Sophie</dc:creator>
  <cp:lastModifiedBy>REY Mathilde</cp:lastModifiedBy>
  <cp:revision>2</cp:revision>
  <cp:lastPrinted>2018-03-21T10:31:00Z</cp:lastPrinted>
  <dcterms:created xsi:type="dcterms:W3CDTF">2026-06-12T07:57:00Z</dcterms:created>
  <dcterms:modified xsi:type="dcterms:W3CDTF">2026-06-12T07:57:00Z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0x010100A80FB6F75D501047A51DDE3577EB4688</vt:lpwstr>
  </property>
</Properties>
</file>