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line="240" w:lineRule="auto"/>
        <w:jc w:val="both"/>
        <w:rPr>
          <w:rFonts w:ascii="Century Gothic" w:hAnsi="Century Gothic"/>
          <w:b/>
        </w:rPr>
      </w:pPr>
      <w:r>
        <w:rPr>
          <w:rFonts w:ascii="Century Gothic" w:hAnsi="Century Gothic"/>
          <w:b/>
          <w:noProof/>
          <w:lang w:eastAsia="fr-FR"/>
        </w:rPr>
        <w:drawing>
          <wp:anchor distT="0" distB="0" distL="114300" distR="114300" simplePos="0" relativeHeight="251658240" behindDoc="0" locked="0" layoutInCell="1" allowOverlap="1">
            <wp:simplePos x="0" y="0"/>
            <wp:positionH relativeFrom="margin">
              <wp:posOffset>4129405</wp:posOffset>
            </wp:positionH>
            <wp:positionV relativeFrom="paragraph">
              <wp:posOffset>0</wp:posOffset>
            </wp:positionV>
            <wp:extent cx="1914525" cy="525145"/>
            <wp:effectExtent l="0" t="0" r="9525"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hu-cmj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4525" cy="525145"/>
                    </a:xfrm>
                    <a:prstGeom prst="rect">
                      <a:avLst/>
                    </a:prstGeom>
                  </pic:spPr>
                </pic:pic>
              </a:graphicData>
            </a:graphic>
            <wp14:sizeRelH relativeFrom="margin">
              <wp14:pctWidth>0</wp14:pctWidth>
            </wp14:sizeRelH>
            <wp14:sizeRelV relativeFrom="margin">
              <wp14:pctHeight>0</wp14:pctHeight>
            </wp14:sizeRelV>
          </wp:anchor>
        </w:drawing>
      </w:r>
    </w:p>
    <w:p>
      <w:pPr>
        <w:spacing w:after="0" w:line="240" w:lineRule="auto"/>
        <w:jc w:val="both"/>
        <w:rPr>
          <w:rFonts w:ascii="Century Gothic" w:hAnsi="Century Gothic"/>
          <w:b/>
        </w:rPr>
      </w:pPr>
    </w:p>
    <w:p>
      <w:pPr>
        <w:spacing w:after="0" w:line="240" w:lineRule="auto"/>
        <w:jc w:val="both"/>
        <w:rPr>
          <w:rFonts w:ascii="Century Gothic" w:hAnsi="Century Gothic"/>
          <w:b/>
        </w:rPr>
      </w:pPr>
    </w:p>
    <w:p>
      <w:pPr>
        <w:spacing w:after="0" w:line="240" w:lineRule="auto"/>
        <w:jc w:val="both"/>
        <w:rPr>
          <w:rFonts w:ascii="Century Gothic" w:hAnsi="Century Gothic"/>
          <w:b/>
        </w:rPr>
      </w:pPr>
    </w:p>
    <w:p>
      <w:pPr>
        <w:spacing w:after="0" w:line="240" w:lineRule="auto"/>
        <w:jc w:val="center"/>
        <w:rPr>
          <w:rFonts w:ascii="Century Gothic" w:hAnsi="Century Gothic"/>
          <w:b/>
          <w:color w:val="008080"/>
        </w:rPr>
      </w:pPr>
      <w:r>
        <w:rPr>
          <w:rFonts w:ascii="Century Gothic" w:hAnsi="Century Gothic"/>
          <w:b/>
          <w:color w:val="008080"/>
        </w:rPr>
        <w:t>Médecin Psychiatre –</w:t>
      </w:r>
    </w:p>
    <w:p>
      <w:pPr>
        <w:spacing w:after="0" w:line="240" w:lineRule="auto"/>
        <w:jc w:val="center"/>
        <w:rPr>
          <w:rFonts w:ascii="Century Gothic" w:hAnsi="Century Gothic"/>
          <w:b/>
          <w:color w:val="008080"/>
        </w:rPr>
      </w:pPr>
      <w:r>
        <w:rPr>
          <w:rFonts w:ascii="Century Gothic" w:hAnsi="Century Gothic"/>
          <w:b/>
          <w:color w:val="008080"/>
        </w:rPr>
        <w:t>POLE : PSYCHIATRIE DEPENDANCE REHABILITATION ET PERSPECTIVE –</w:t>
      </w:r>
    </w:p>
    <w:p>
      <w:pPr>
        <w:jc w:val="center"/>
      </w:pPr>
      <w:r>
        <w:rPr>
          <w:rFonts w:ascii="Century Gothic" w:hAnsi="Century Gothic"/>
          <w:b/>
          <w:color w:val="008080"/>
        </w:rPr>
        <w:t>Sites Paris 13e et Neuilly sur Marne</w:t>
      </w:r>
    </w:p>
    <w:tbl>
      <w:tblPr>
        <w:tblStyle w:val="Grilledutableau"/>
        <w:tblW w:w="0" w:type="auto"/>
        <w:tblBorders>
          <w:top w:val="single" w:sz="4" w:space="0" w:color="00B1AA"/>
          <w:left w:val="none" w:sz="0" w:space="0" w:color="auto"/>
          <w:bottom w:val="single" w:sz="4" w:space="0" w:color="00B1AA"/>
          <w:right w:val="none" w:sz="0" w:space="0" w:color="auto"/>
          <w:insideH w:val="single" w:sz="4" w:space="0" w:color="00B1AA"/>
          <w:insideV w:val="single" w:sz="4" w:space="0" w:color="00B1AA"/>
        </w:tblBorders>
        <w:tblLook w:val="04A0" w:firstRow="1" w:lastRow="0" w:firstColumn="1" w:lastColumn="0" w:noHBand="0" w:noVBand="1"/>
      </w:tblPr>
      <w:tblGrid>
        <w:gridCol w:w="3256"/>
        <w:gridCol w:w="5806"/>
      </w:tblGrid>
      <w:tr>
        <w:tc>
          <w:tcPr>
            <w:tcW w:w="3256" w:type="dxa"/>
          </w:tcPr>
          <w:p>
            <w:pPr>
              <w:jc w:val="both"/>
              <w:rPr>
                <w:rFonts w:ascii="Century Gothic" w:hAnsi="Century Gothic"/>
                <w:b/>
                <w:sz w:val="19"/>
                <w:szCs w:val="19"/>
              </w:rPr>
            </w:pPr>
            <w:r>
              <w:rPr>
                <w:rFonts w:ascii="Century Gothic" w:hAnsi="Century Gothic"/>
                <w:b/>
                <w:sz w:val="19"/>
                <w:szCs w:val="19"/>
              </w:rPr>
              <w:t xml:space="preserve">Statut </w:t>
            </w:r>
          </w:p>
        </w:tc>
        <w:tc>
          <w:tcPr>
            <w:tcW w:w="5806" w:type="dxa"/>
          </w:tcPr>
          <w:p>
            <w:pPr>
              <w:jc w:val="both"/>
              <w:rPr>
                <w:rFonts w:ascii="Century Gothic" w:hAnsi="Century Gothic"/>
                <w:sz w:val="19"/>
                <w:szCs w:val="19"/>
              </w:rPr>
            </w:pPr>
            <w:r>
              <w:rPr>
                <w:rFonts w:ascii="Century Gothic" w:hAnsi="Century Gothic"/>
                <w:sz w:val="19"/>
                <w:szCs w:val="19"/>
              </w:rPr>
              <w:t xml:space="preserve">PRATICIEN HOSPITALIER / </w:t>
            </w:r>
            <w:r>
              <w:rPr>
                <w:rFonts w:ascii="Century Gothic" w:hAnsi="Century Gothic"/>
                <w:sz w:val="19"/>
                <w:szCs w:val="19"/>
              </w:rPr>
              <w:t>CONTRACTUEL</w:t>
            </w:r>
          </w:p>
          <w:p>
            <w:pPr>
              <w:jc w:val="both"/>
              <w:rPr>
                <w:rFonts w:ascii="Century Gothic" w:hAnsi="Century Gothic"/>
                <w:sz w:val="19"/>
                <w:szCs w:val="19"/>
              </w:rPr>
            </w:pPr>
            <w:r>
              <w:rPr>
                <w:rFonts w:ascii="Century Gothic" w:eastAsia="Times New Roman" w:hAnsi="Century Gothic" w:cstheme="minorHAnsi"/>
                <w:sz w:val="18"/>
                <w:szCs w:val="18"/>
                <w:lang w:eastAsia="fr-FR"/>
              </w:rPr>
              <w:t>Le poste est adaptable au profil de praticien : il peut déboucher sur un poste Praticien Hospitalier Temps Plein</w:t>
            </w:r>
          </w:p>
        </w:tc>
      </w:tr>
      <w:tr>
        <w:tc>
          <w:tcPr>
            <w:tcW w:w="3256" w:type="dxa"/>
          </w:tcPr>
          <w:p>
            <w:pPr>
              <w:jc w:val="both"/>
              <w:rPr>
                <w:rFonts w:ascii="Century Gothic" w:hAnsi="Century Gothic"/>
                <w:b/>
                <w:sz w:val="19"/>
                <w:szCs w:val="19"/>
              </w:rPr>
            </w:pPr>
            <w:r>
              <w:rPr>
                <w:rFonts w:ascii="Century Gothic" w:hAnsi="Century Gothic"/>
                <w:b/>
                <w:sz w:val="19"/>
                <w:szCs w:val="19"/>
              </w:rPr>
              <w:t>Intitulé du poste</w:t>
            </w:r>
          </w:p>
        </w:tc>
        <w:tc>
          <w:tcPr>
            <w:tcW w:w="5806" w:type="dxa"/>
          </w:tcPr>
          <w:p>
            <w:pPr>
              <w:jc w:val="both"/>
              <w:rPr>
                <w:rFonts w:ascii="Century Gothic" w:hAnsi="Century Gothic"/>
                <w:sz w:val="19"/>
                <w:szCs w:val="19"/>
              </w:rPr>
            </w:pPr>
            <w:r>
              <w:rPr>
                <w:rFonts w:ascii="Century Gothic" w:hAnsi="Century Gothic"/>
                <w:sz w:val="19"/>
                <w:szCs w:val="19"/>
              </w:rPr>
              <w:t>Médecin Psychiatre</w:t>
            </w:r>
          </w:p>
        </w:tc>
      </w:tr>
      <w:tr>
        <w:tc>
          <w:tcPr>
            <w:tcW w:w="3256" w:type="dxa"/>
          </w:tcPr>
          <w:p>
            <w:pPr>
              <w:jc w:val="both"/>
              <w:rPr>
                <w:rFonts w:ascii="Century Gothic" w:hAnsi="Century Gothic"/>
                <w:b/>
                <w:sz w:val="19"/>
                <w:szCs w:val="19"/>
              </w:rPr>
            </w:pPr>
            <w:r>
              <w:rPr>
                <w:rFonts w:ascii="Century Gothic" w:hAnsi="Century Gothic"/>
                <w:b/>
                <w:sz w:val="19"/>
                <w:szCs w:val="19"/>
              </w:rPr>
              <w:t>Lieux de travail</w:t>
            </w:r>
          </w:p>
        </w:tc>
        <w:tc>
          <w:tcPr>
            <w:tcW w:w="5806" w:type="dxa"/>
          </w:tcPr>
          <w:p>
            <w:pPr>
              <w:overflowPunct w:val="0"/>
              <w:autoSpaceDE w:val="0"/>
              <w:autoSpaceDN w:val="0"/>
              <w:adjustRightInd w:val="0"/>
              <w:jc w:val="both"/>
              <w:textAlignment w:val="baseline"/>
              <w:rPr>
                <w:rFonts w:ascii="Century Gothic" w:eastAsia="Times New Roman" w:hAnsi="Century Gothic" w:cs="Arial"/>
                <w:b/>
                <w:sz w:val="18"/>
                <w:szCs w:val="18"/>
                <w:lang w:eastAsia="fr-FR"/>
              </w:rPr>
            </w:pPr>
            <w:r>
              <w:rPr>
                <w:rFonts w:ascii="Century Gothic" w:eastAsia="Times New Roman" w:hAnsi="Century Gothic" w:cs="Arial"/>
                <w:b/>
                <w:sz w:val="18"/>
                <w:szCs w:val="18"/>
                <w:lang w:eastAsia="fr-FR"/>
              </w:rPr>
              <w:t>Sites Paris 13e et Neuilly sur Marne</w:t>
            </w:r>
          </w:p>
        </w:tc>
      </w:tr>
      <w:tr>
        <w:tc>
          <w:tcPr>
            <w:tcW w:w="3256" w:type="dxa"/>
          </w:tcPr>
          <w:p>
            <w:pPr>
              <w:jc w:val="both"/>
              <w:rPr>
                <w:rFonts w:ascii="Century Gothic" w:hAnsi="Century Gothic"/>
                <w:b/>
                <w:sz w:val="19"/>
                <w:szCs w:val="19"/>
              </w:rPr>
            </w:pPr>
            <w:r>
              <w:rPr>
                <w:rFonts w:ascii="Century Gothic" w:hAnsi="Century Gothic"/>
                <w:b/>
                <w:sz w:val="19"/>
                <w:szCs w:val="19"/>
              </w:rPr>
              <w:t>Organisation du travail</w:t>
            </w:r>
          </w:p>
        </w:tc>
        <w:tc>
          <w:tcPr>
            <w:tcW w:w="5806" w:type="dxa"/>
          </w:tcPr>
          <w:p>
            <w:pPr>
              <w:jc w:val="both"/>
              <w:rPr>
                <w:rFonts w:ascii="Century Gothic" w:hAnsi="Century Gothic"/>
                <w:sz w:val="19"/>
                <w:szCs w:val="19"/>
              </w:rPr>
            </w:pPr>
            <w:r>
              <w:rPr>
                <w:rFonts w:ascii="Century Gothic" w:hAnsi="Century Gothic"/>
                <w:sz w:val="19"/>
                <w:szCs w:val="19"/>
              </w:rPr>
              <w:t>Le praticien partage son temps entre une activité au sein de l’unité d’Hospitalisation dédiée à des missions de réhabilitation psycho-sociales qui est située à Neuilly sur Marne et une activité au sein de l’équipe mobile parcours complexe visant à accompagner les patients dans leur parcours de réhabilitation qui est située à Paris 13</w:t>
            </w:r>
            <w:r>
              <w:rPr>
                <w:rFonts w:ascii="Century Gothic" w:hAnsi="Century Gothic"/>
                <w:sz w:val="19"/>
                <w:szCs w:val="19"/>
                <w:vertAlign w:val="superscript"/>
              </w:rPr>
              <w:t>e</w:t>
            </w:r>
            <w:r>
              <w:rPr>
                <w:rFonts w:ascii="Century Gothic" w:hAnsi="Century Gothic"/>
                <w:sz w:val="19"/>
                <w:szCs w:val="19"/>
              </w:rPr>
              <w:t>.</w:t>
            </w:r>
          </w:p>
          <w:p>
            <w:pPr>
              <w:jc w:val="both"/>
              <w:rPr>
                <w:rFonts w:ascii="Century Gothic" w:hAnsi="Century Gothic"/>
                <w:sz w:val="19"/>
                <w:szCs w:val="19"/>
              </w:rPr>
            </w:pPr>
            <w:r>
              <w:rPr>
                <w:rFonts w:ascii="Century Gothic" w:hAnsi="Century Gothic"/>
                <w:sz w:val="19"/>
                <w:szCs w:val="19"/>
              </w:rPr>
              <w:t>Participation au tour de garde de WE sur le site de Neuilly sur Marne (une à deux fois par mois) et à la liste d’astreinte de nuit de médecin sénior (environ quatre par an).</w:t>
            </w:r>
          </w:p>
        </w:tc>
      </w:tr>
      <w:tr>
        <w:tc>
          <w:tcPr>
            <w:tcW w:w="3256" w:type="dxa"/>
          </w:tcPr>
          <w:p>
            <w:pPr>
              <w:jc w:val="both"/>
              <w:rPr>
                <w:rFonts w:ascii="Century Gothic" w:hAnsi="Century Gothic"/>
                <w:b/>
                <w:sz w:val="19"/>
                <w:szCs w:val="19"/>
              </w:rPr>
            </w:pPr>
            <w:r>
              <w:rPr>
                <w:rFonts w:ascii="Century Gothic" w:hAnsi="Century Gothic"/>
                <w:b/>
                <w:sz w:val="19"/>
                <w:szCs w:val="19"/>
              </w:rPr>
              <w:t>Spécificités liées à la fonction</w:t>
            </w:r>
          </w:p>
        </w:tc>
        <w:tc>
          <w:tcPr>
            <w:tcW w:w="5806" w:type="dxa"/>
          </w:tcPr>
          <w:p>
            <w:pPr>
              <w:overflowPunct w:val="0"/>
              <w:autoSpaceDE w:val="0"/>
              <w:autoSpaceDN w:val="0"/>
              <w:adjustRightInd w:val="0"/>
              <w:jc w:val="both"/>
              <w:textAlignment w:val="baseline"/>
              <w:rPr>
                <w:rFonts w:ascii="Century Gothic" w:hAnsi="Century Gothic"/>
                <w:sz w:val="19"/>
                <w:szCs w:val="19"/>
              </w:rPr>
            </w:pPr>
            <w:r>
              <w:rPr>
                <w:rFonts w:ascii="Century Gothic" w:hAnsi="Century Gothic"/>
                <w:sz w:val="19"/>
                <w:szCs w:val="19"/>
              </w:rPr>
              <w:t>Psychiatrie Adulte</w:t>
            </w:r>
          </w:p>
        </w:tc>
      </w:tr>
      <w:tr>
        <w:tc>
          <w:tcPr>
            <w:tcW w:w="3256" w:type="dxa"/>
          </w:tcPr>
          <w:p>
            <w:pPr>
              <w:jc w:val="both"/>
              <w:rPr>
                <w:rFonts w:ascii="Century Gothic" w:hAnsi="Century Gothic"/>
                <w:b/>
                <w:sz w:val="19"/>
                <w:szCs w:val="19"/>
              </w:rPr>
            </w:pPr>
            <w:r>
              <w:rPr>
                <w:rFonts w:ascii="Century Gothic" w:hAnsi="Century Gothic"/>
                <w:b/>
                <w:sz w:val="19"/>
                <w:szCs w:val="19"/>
              </w:rPr>
              <w:t xml:space="preserve">Poste à pourvoir à compter du </w:t>
            </w:r>
          </w:p>
        </w:tc>
        <w:tc>
          <w:tcPr>
            <w:tcW w:w="5806" w:type="dxa"/>
          </w:tcPr>
          <w:p>
            <w:pPr>
              <w:jc w:val="both"/>
              <w:rPr>
                <w:rFonts w:ascii="Century Gothic" w:hAnsi="Century Gothic"/>
                <w:sz w:val="19"/>
                <w:szCs w:val="19"/>
              </w:rPr>
            </w:pPr>
            <w:r>
              <w:rPr>
                <w:rFonts w:ascii="Century Gothic" w:hAnsi="Century Gothic"/>
                <w:sz w:val="19"/>
                <w:szCs w:val="19"/>
              </w:rPr>
              <w:t>Dès que possible</w:t>
            </w:r>
          </w:p>
        </w:tc>
      </w:tr>
      <w:tr>
        <w:trPr>
          <w:trHeight w:val="58"/>
        </w:trPr>
        <w:tc>
          <w:tcPr>
            <w:tcW w:w="3256" w:type="dxa"/>
          </w:tcPr>
          <w:p>
            <w:pPr>
              <w:jc w:val="both"/>
              <w:rPr>
                <w:rFonts w:ascii="Century Gothic" w:hAnsi="Century Gothic"/>
                <w:b/>
                <w:sz w:val="19"/>
                <w:szCs w:val="19"/>
              </w:rPr>
            </w:pPr>
            <w:r>
              <w:rPr>
                <w:rFonts w:ascii="Century Gothic" w:hAnsi="Century Gothic"/>
                <w:b/>
                <w:sz w:val="19"/>
                <w:szCs w:val="19"/>
              </w:rPr>
              <w:t>Candidatures à adresser</w:t>
            </w:r>
          </w:p>
        </w:tc>
        <w:tc>
          <w:tcPr>
            <w:tcW w:w="5806" w:type="dxa"/>
          </w:tcPr>
          <w:p>
            <w:pPr>
              <w:jc w:val="both"/>
              <w:rPr>
                <w:rFonts w:ascii="Century Gothic" w:hAnsi="Century Gothic"/>
                <w:sz w:val="19"/>
                <w:szCs w:val="19"/>
              </w:rPr>
            </w:pPr>
            <w:r>
              <w:rPr>
                <w:rFonts w:ascii="Century Gothic" w:hAnsi="Century Gothic"/>
                <w:sz w:val="19"/>
                <w:szCs w:val="19"/>
              </w:rPr>
              <w:t>Cheffe de Pôle : Docteur Brigitte OUHAYOUN : brigitte.ouhayoun@ghu-paris.fr</w:t>
            </w:r>
          </w:p>
        </w:tc>
      </w:tr>
    </w:tbl>
    <w:p>
      <w:pPr>
        <w:spacing w:after="0" w:line="240" w:lineRule="auto"/>
        <w:jc w:val="both"/>
        <w:rPr>
          <w:rFonts w:ascii="Century Gothic" w:hAnsi="Century Gothic"/>
          <w:b/>
        </w:rPr>
      </w:pPr>
    </w:p>
    <w:p>
      <w:pPr>
        <w:spacing w:after="0" w:line="240" w:lineRule="auto"/>
        <w:jc w:val="both"/>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 xml:space="preserve">VOUS SOUHAITEZ REJOINDRE UN ACTEUR HOSPITALIER MAJEUR DANS LA PRISE EN CHARGE EN PSYCHIATRIE ET NEUROSCIENCES ? </w:t>
      </w:r>
    </w:p>
    <w:p>
      <w:pPr>
        <w:spacing w:after="0" w:line="240" w:lineRule="auto"/>
        <w:jc w:val="both"/>
        <w:rPr>
          <w:rFonts w:ascii="Century Gothic" w:hAnsi="Century Gothic"/>
          <w:color w:val="555E5E"/>
        </w:rPr>
      </w:pPr>
      <w:r>
        <w:rPr>
          <w:rFonts w:ascii="Century Gothic" w:hAnsi="Century Gothic"/>
          <w:color w:val="555E5E"/>
        </w:rPr>
        <w:t xml:space="preserve">Le </w:t>
      </w:r>
      <w:hyperlink r:id="rId12" w:history="1">
        <w:r>
          <w:rPr>
            <w:rStyle w:val="Lienhypertexte"/>
            <w:rFonts w:ascii="Century Gothic" w:hAnsi="Century Gothic"/>
            <w:color w:val="555E5E"/>
          </w:rPr>
          <w:t>Groupe Hospitalier Universitaire Paris psychiatrie &amp; neurosciences</w:t>
        </w:r>
      </w:hyperlink>
      <w:r>
        <w:rPr>
          <w:rFonts w:ascii="Century Gothic" w:hAnsi="Century Gothic"/>
          <w:color w:val="555E5E"/>
        </w:rPr>
        <w:t xml:space="preserve"> est né le 1</w:t>
      </w:r>
      <w:r>
        <w:rPr>
          <w:rFonts w:ascii="Century Gothic" w:hAnsi="Century Gothic"/>
          <w:color w:val="555E5E"/>
          <w:vertAlign w:val="superscript"/>
        </w:rPr>
        <w:t>er</w:t>
      </w:r>
      <w:r>
        <w:rPr>
          <w:rFonts w:ascii="Century Gothic" w:hAnsi="Century Gothic"/>
          <w:color w:val="555E5E"/>
        </w:rPr>
        <w:t xml:space="preserve"> janvier 2019 des rapprochements des hôpitaux Sainte-Anne, Maison Blanche et Perray-Vaucluse.  Leader dans le soin, l’enseignement et la recherche portant sur les maladies mentales et le système nerveux, le GHU Paris emploie 5600 hospitaliers répartis dans 100 sites parisiens, ainsi que des unités à dimension médico-sociale dans le 91 et le 93. </w:t>
      </w:r>
    </w:p>
    <w:p>
      <w:pPr>
        <w:spacing w:after="0" w:line="240" w:lineRule="auto"/>
        <w:jc w:val="both"/>
        <w:rPr>
          <w:rStyle w:val="Lienhypertexte"/>
          <w:rFonts w:ascii="Century Gothic" w:hAnsi="Century Gothic"/>
        </w:rPr>
      </w:pPr>
      <w:r>
        <w:rPr>
          <w:rFonts w:ascii="Century Gothic" w:hAnsi="Century Gothic"/>
          <w:color w:val="555E5E"/>
        </w:rPr>
        <w:t xml:space="preserve">Le GHU Paris assure la prise en charge de proximité, de recours et de spécialité des Parisiens dans toutes les disciplines associées à la santé mentale et au cerveau au sein de 170 structures réparties dans la capitale.  </w:t>
      </w:r>
      <w:hyperlink r:id="rId13" w:history="1">
        <w:r>
          <w:rPr>
            <w:rStyle w:val="Lienhypertexte"/>
            <w:rFonts w:ascii="Century Gothic" w:hAnsi="Century Gothic"/>
          </w:rPr>
          <w:t>2 ‘ chrono pour connaître le GHU Paris en images animées </w:t>
        </w:r>
      </w:hyperlink>
    </w:p>
    <w:p>
      <w:pPr>
        <w:spacing w:after="0" w:line="240" w:lineRule="auto"/>
        <w:jc w:val="both"/>
        <w:rPr>
          <w:rStyle w:val="Lienhypertexte"/>
          <w:rFonts w:ascii="Century Gothic" w:hAnsi="Century Gothic"/>
          <w:color w:val="555E5E"/>
          <w:u w:val="none"/>
        </w:rPr>
      </w:pPr>
      <w:r>
        <w:rPr>
          <w:rStyle w:val="Lienhypertexte"/>
          <w:rFonts w:ascii="Century Gothic" w:hAnsi="Century Gothic"/>
          <w:color w:val="555E5E"/>
          <w:u w:val="none"/>
        </w:rPr>
        <w:t xml:space="preserve">Rejoindre le GHU Paris, c’est intégrer une communauté hospitalière engagée qui prend soin des professionnels qui prennent soin des patients. </w:t>
      </w:r>
      <w:hyperlink r:id="rId14" w:history="1">
        <w:r>
          <w:rPr>
            <w:rStyle w:val="Lienhypertexte"/>
            <w:rFonts w:ascii="Century Gothic" w:hAnsi="Century Gothic"/>
          </w:rPr>
          <w:t>#jechoisisleGhuParis</w:t>
        </w:r>
      </w:hyperlink>
    </w:p>
    <w:p>
      <w:pPr>
        <w:spacing w:after="0" w:line="240" w:lineRule="auto"/>
        <w:jc w:val="both"/>
        <w:rPr>
          <w:rStyle w:val="Lienhypertexte"/>
          <w:rFonts w:ascii="Century Gothic" w:hAnsi="Century Gothic"/>
          <w:color w:val="555E5E"/>
        </w:rPr>
      </w:pPr>
      <w:hyperlink r:id="rId15" w:history="1">
        <w:r>
          <w:rPr>
            <w:rStyle w:val="Lienhypertexte"/>
            <w:rFonts w:ascii="Century Gothic" w:hAnsi="Century Gothic"/>
          </w:rPr>
          <w:t>www.ghu-paris.fr</w:t>
        </w:r>
      </w:hyperlink>
      <w:r>
        <w:rPr>
          <w:rStyle w:val="Lienhypertexte"/>
          <w:rFonts w:ascii="Century Gothic" w:hAnsi="Century Gothic"/>
          <w:color w:val="555E5E"/>
        </w:rPr>
        <w:t xml:space="preserve"> / LinkedIn </w:t>
      </w:r>
      <w:hyperlink r:id="rId16" w:history="1">
        <w:proofErr w:type="spellStart"/>
        <w:r>
          <w:rPr>
            <w:rStyle w:val="Lienhypertexte"/>
            <w:rFonts w:ascii="Century Gothic" w:hAnsi="Century Gothic"/>
          </w:rPr>
          <w:t>Ghu</w:t>
        </w:r>
        <w:proofErr w:type="spellEnd"/>
        <w:r>
          <w:rPr>
            <w:rStyle w:val="Lienhypertexte"/>
            <w:rFonts w:ascii="Century Gothic" w:hAnsi="Century Gothic"/>
          </w:rPr>
          <w:t xml:space="preserve"> Paris</w:t>
        </w:r>
      </w:hyperlink>
      <w:r>
        <w:rPr>
          <w:rStyle w:val="Lienhypertexte"/>
          <w:rFonts w:ascii="Century Gothic" w:hAnsi="Century Gothic"/>
          <w:color w:val="555E5E"/>
        </w:rPr>
        <w:t xml:space="preserve"> / Twitter @GhuParis</w:t>
      </w:r>
    </w:p>
    <w:p>
      <w:pPr>
        <w:spacing w:after="0" w:line="240" w:lineRule="auto"/>
        <w:jc w:val="both"/>
        <w:rPr>
          <w:rFonts w:ascii="Century Gothic" w:hAnsi="Century Gothic"/>
          <w:color w:val="555E5E"/>
        </w:rPr>
      </w:pPr>
      <w:r>
        <w:rPr>
          <w:rFonts w:ascii="Century Gothic" w:hAnsi="Century Gothic"/>
          <w:b/>
          <w:color w:val="555E5E"/>
        </w:rPr>
        <w:t>Siège</w:t>
      </w:r>
      <w:r>
        <w:rPr>
          <w:rFonts w:ascii="Century Gothic" w:hAnsi="Century Gothic"/>
          <w:color w:val="555E5E"/>
        </w:rPr>
        <w:t> : Site Sainte-Anne, 1 rue Cabanis 75014 Paris</w:t>
      </w:r>
    </w:p>
    <w:p>
      <w:pPr>
        <w:spacing w:after="0" w:line="240" w:lineRule="auto"/>
        <w:jc w:val="both"/>
        <w:rPr>
          <w:rFonts w:ascii="Century Gothic" w:hAnsi="Century Gothic"/>
          <w:color w:val="555E5E"/>
        </w:rPr>
      </w:pPr>
    </w:p>
    <w:p>
      <w:pPr>
        <w:spacing w:after="0" w:line="240" w:lineRule="auto"/>
        <w:jc w:val="both"/>
        <w:rPr>
          <w:rFonts w:ascii="Century Gothic" w:hAnsi="Century Gothic"/>
          <w:color w:val="555E5E"/>
        </w:rPr>
      </w:pPr>
      <w:r>
        <w:rPr>
          <w:rFonts w:ascii="Century Gothic" w:hAnsi="Century Gothic"/>
          <w:color w:val="555E5E"/>
        </w:rPr>
        <w:t>Le GHU Paris s’engage pour une politique inclusive, tous les postes sont ouverts aux candidats en situation de handicap. </w:t>
      </w:r>
    </w:p>
    <w:p>
      <w:pPr>
        <w:spacing w:after="0" w:line="240" w:lineRule="auto"/>
        <w:jc w:val="both"/>
        <w:rPr>
          <w:rFonts w:ascii="Century Gothic" w:eastAsia="Times New Roman" w:hAnsi="Century Gothic" w:cs="Times New Roman"/>
          <w:b/>
          <w:bCs/>
          <w:sz w:val="8"/>
          <w:szCs w:val="8"/>
          <w:lang w:eastAsia="fr-FR"/>
        </w:rPr>
      </w:pPr>
    </w:p>
    <w:p>
      <w:pPr>
        <w:jc w:val="both"/>
        <w:rPr>
          <w:rFonts w:ascii="Century Gothic" w:eastAsia="Times New Roman" w:hAnsi="Century Gothic" w:cs="Times New Roman"/>
          <w:b/>
          <w:bCs/>
          <w:color w:val="008080"/>
          <w:sz w:val="20"/>
          <w:szCs w:val="20"/>
          <w:lang w:eastAsia="fr-FR"/>
        </w:rPr>
      </w:pPr>
    </w:p>
    <w:p>
      <w:pPr>
        <w:spacing w:after="0" w:line="240" w:lineRule="auto"/>
        <w:jc w:val="both"/>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DESCRIPTION DU PÔLE/SERVICE</w:t>
      </w:r>
    </w:p>
    <w:p>
      <w:pPr>
        <w:spacing w:after="0" w:line="240" w:lineRule="auto"/>
        <w:jc w:val="both"/>
        <w:rPr>
          <w:rFonts w:ascii="Century Gothic" w:eastAsia="Times New Roman" w:hAnsi="Century Gothic" w:cs="Times New Roman"/>
          <w:b/>
          <w:bCs/>
          <w:color w:val="008080"/>
          <w:sz w:val="20"/>
          <w:szCs w:val="20"/>
          <w:lang w:eastAsia="fr-FR"/>
        </w:rPr>
      </w:pPr>
    </w:p>
    <w:p>
      <w:pPr>
        <w:spacing w:after="0" w:line="240" w:lineRule="auto"/>
        <w:jc w:val="both"/>
      </w:pPr>
      <w:r>
        <w:t>Le praticien exercera au sein du Pôle PSYCHIATRIE DEPENDANCE REHABILITATION ET PERSPECTIVE composé de :</w:t>
      </w:r>
    </w:p>
    <w:p>
      <w:pPr>
        <w:spacing w:after="0" w:line="240" w:lineRule="auto"/>
        <w:jc w:val="both"/>
      </w:pPr>
      <w:r>
        <w:t>- deux unités médico-sociales : une MAS orientée « handicap psychique » d’une capacité 50 places d’hébergement et 10 places d’accueil de jour et un EHPAD de 96 places.</w:t>
      </w:r>
    </w:p>
    <w:p>
      <w:pPr>
        <w:spacing w:after="0" w:line="240" w:lineRule="auto"/>
        <w:jc w:val="both"/>
      </w:pPr>
      <w:r>
        <w:t xml:space="preserve">- trois unités sanitaires (2 unités d’hospitalisation et 1 équipe mobile parcours complexe). </w:t>
      </w:r>
    </w:p>
    <w:p>
      <w:pPr>
        <w:jc w:val="both"/>
      </w:pPr>
    </w:p>
    <w:p>
      <w:pPr>
        <w:jc w:val="both"/>
      </w:pPr>
      <w:r>
        <w:t>Chef de Service : Docteur Maxime PLUSQUELLEC</w:t>
      </w:r>
    </w:p>
    <w:p>
      <w:pPr>
        <w:jc w:val="both"/>
      </w:pPr>
      <w:r>
        <w:t xml:space="preserve">Cheffe de Pôle : Docteur Brigitte OUHAYOUN  </w:t>
      </w:r>
    </w:p>
    <w:p>
      <w:pPr>
        <w:jc w:val="both"/>
        <w:rPr>
          <w:rFonts w:eastAsia="Times New Roman" w:cstheme="minorHAnsi"/>
          <w:b/>
          <w:color w:val="000000"/>
          <w:lang w:eastAsia="fr-FR"/>
        </w:rPr>
      </w:pPr>
      <w:r>
        <w:rPr>
          <w:rFonts w:eastAsia="Times New Roman" w:cstheme="minorHAnsi"/>
          <w:b/>
          <w:color w:val="000000"/>
          <w:lang w:eastAsia="fr-FR"/>
        </w:rPr>
        <w:t>Position du praticien dans la structure :</w:t>
      </w:r>
    </w:p>
    <w:p>
      <w:pPr>
        <w:spacing w:after="0" w:line="240" w:lineRule="auto"/>
        <w:jc w:val="both"/>
      </w:pPr>
      <w:r>
        <w:t>Le praticien partage son temps entre une activité au sein de l’unité d’Hospitalisation dédiée à des missions de réhabilitation psycho-sociales qui est située à Neuilly sur Marne et une activité au sein de l’équipe mobile parcours complexe visant à accompagner les patients dans leur parcours de réhabilitation qui est située à Paris 13</w:t>
      </w:r>
      <w:r>
        <w:rPr>
          <w:vertAlign w:val="superscript"/>
        </w:rPr>
        <w:t>e</w:t>
      </w:r>
      <w:r>
        <w:t>.</w:t>
      </w:r>
    </w:p>
    <w:p>
      <w:pPr>
        <w:spacing w:after="0" w:line="240" w:lineRule="auto"/>
        <w:jc w:val="both"/>
        <w:rPr>
          <w:rFonts w:ascii="Century Gothic" w:eastAsia="Times New Roman" w:hAnsi="Century Gothic" w:cs="Times New Roman"/>
          <w:b/>
          <w:bCs/>
          <w:color w:val="008080"/>
          <w:sz w:val="20"/>
          <w:szCs w:val="20"/>
          <w:lang w:eastAsia="fr-FR"/>
        </w:rPr>
      </w:pPr>
    </w:p>
    <w:p>
      <w:pPr>
        <w:spacing w:after="0" w:line="240" w:lineRule="auto"/>
        <w:jc w:val="both"/>
        <w:rPr>
          <w:rFonts w:ascii="Century Gothic" w:eastAsia="Times New Roman" w:hAnsi="Century Gothic" w:cs="Times New Roman"/>
          <w:b/>
          <w:bCs/>
          <w:color w:val="008080"/>
          <w:sz w:val="20"/>
          <w:szCs w:val="20"/>
          <w:lang w:eastAsia="fr-FR"/>
        </w:rPr>
      </w:pPr>
    </w:p>
    <w:p>
      <w:pPr>
        <w:spacing w:after="0" w:line="240" w:lineRule="auto"/>
        <w:jc w:val="both"/>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DESCRIPTION DU POSTE</w:t>
      </w:r>
    </w:p>
    <w:p>
      <w:pPr>
        <w:spacing w:after="0" w:line="240" w:lineRule="auto"/>
        <w:jc w:val="both"/>
        <w:rPr>
          <w:rFonts w:ascii="Century Gothic" w:eastAsia="Times New Roman" w:hAnsi="Century Gothic" w:cs="Times New Roman"/>
          <w:b/>
          <w:bCs/>
          <w:color w:val="008080"/>
          <w:sz w:val="20"/>
          <w:szCs w:val="20"/>
          <w:lang w:eastAsia="fr-FR"/>
        </w:rPr>
      </w:pPr>
      <w:r>
        <w:rPr>
          <w:rFonts w:eastAsia="Times New Roman" w:cstheme="minorHAnsi"/>
          <w:b/>
          <w:lang w:eastAsia="fr-FR"/>
        </w:rPr>
        <w:t>Caractéristiques des fonctions :</w:t>
      </w:r>
    </w:p>
    <w:p>
      <w:pPr>
        <w:spacing w:after="0" w:line="240" w:lineRule="auto"/>
        <w:jc w:val="both"/>
        <w:rPr>
          <w:rFonts w:ascii="Century Gothic" w:eastAsia="Times New Roman" w:hAnsi="Century Gothic" w:cs="Times New Roman"/>
          <w:b/>
          <w:bCs/>
          <w:color w:val="008080"/>
          <w:sz w:val="20"/>
          <w:szCs w:val="20"/>
          <w:lang w:eastAsia="fr-FR"/>
        </w:rPr>
      </w:pPr>
    </w:p>
    <w:p>
      <w:pPr>
        <w:spacing w:after="0" w:line="240" w:lineRule="auto"/>
        <w:jc w:val="both"/>
        <w:rPr>
          <w:rFonts w:eastAsia="Times New Roman" w:cstheme="minorHAnsi"/>
          <w:lang w:eastAsia="fr-FR"/>
        </w:rPr>
      </w:pPr>
      <w:r>
        <w:rPr>
          <w:rFonts w:eastAsia="Times New Roman" w:cstheme="minorHAnsi"/>
          <w:lang w:eastAsia="fr-FR"/>
        </w:rPr>
        <w:t>1/ Valence : Le praticien exerce au sein d’un pôle innovant visant le rétablissement des personnes atteintes de troubles psychiques avec une forte dépendance institutionnelle au moyen d’outils de réhabilitation psychosociale variés.</w:t>
      </w:r>
    </w:p>
    <w:p>
      <w:pPr>
        <w:spacing w:after="0" w:line="240" w:lineRule="auto"/>
        <w:jc w:val="both"/>
        <w:rPr>
          <w:rFonts w:eastAsia="Times New Roman" w:cstheme="minorHAnsi"/>
          <w:lang w:eastAsia="fr-FR"/>
        </w:rPr>
      </w:pPr>
      <w:r>
        <w:rPr>
          <w:rFonts w:eastAsia="Times New Roman" w:cstheme="minorHAnsi"/>
          <w:lang w:eastAsia="fr-FR"/>
        </w:rPr>
        <w:t xml:space="preserve">Le praticien pourra participer aux programmes de recherche mis en place et/ou participer au travail de diffusion de ses pratiques (communications orales, posters, articles…) </w:t>
      </w:r>
    </w:p>
    <w:p>
      <w:pPr>
        <w:spacing w:after="0" w:line="240" w:lineRule="auto"/>
        <w:jc w:val="both"/>
        <w:rPr>
          <w:rFonts w:eastAsia="Times New Roman" w:cstheme="minorHAnsi"/>
          <w:lang w:eastAsia="fr-FR"/>
        </w:rPr>
      </w:pPr>
    </w:p>
    <w:p>
      <w:pPr>
        <w:spacing w:after="0" w:line="240" w:lineRule="auto"/>
        <w:jc w:val="both"/>
        <w:rPr>
          <w:rFonts w:eastAsia="Times New Roman" w:cstheme="minorHAnsi"/>
          <w:lang w:eastAsia="fr-FR"/>
        </w:rPr>
      </w:pPr>
      <w:r>
        <w:rPr>
          <w:rFonts w:eastAsia="Times New Roman" w:cstheme="minorHAnsi"/>
          <w:lang w:eastAsia="fr-FR"/>
        </w:rPr>
        <w:t>2/ Modalités particulières d’exercice (le pôle coopère avec l’ensemble des secteurs de psychiatrie adulte du territoire ainsi qu’avec les structures médico-sociales d’ile de France, il est doté d’une équipe mobile parcours complexe don la fonction est de coordonner le parcours de soin des patients).</w:t>
      </w:r>
    </w:p>
    <w:p>
      <w:pPr>
        <w:spacing w:after="0" w:line="240" w:lineRule="auto"/>
        <w:jc w:val="both"/>
        <w:rPr>
          <w:rFonts w:eastAsia="Times New Roman" w:cstheme="minorHAnsi"/>
          <w:lang w:eastAsia="fr-FR"/>
        </w:rPr>
      </w:pPr>
    </w:p>
    <w:p>
      <w:pPr>
        <w:spacing w:after="0" w:line="240" w:lineRule="auto"/>
        <w:jc w:val="both"/>
        <w:rPr>
          <w:rFonts w:eastAsia="Times New Roman" w:cstheme="minorHAnsi"/>
          <w:lang w:eastAsia="fr-FR"/>
        </w:rPr>
      </w:pPr>
      <w:r>
        <w:rPr>
          <w:rFonts w:eastAsia="Times New Roman" w:cstheme="minorHAnsi"/>
          <w:lang w:eastAsia="fr-FR"/>
        </w:rPr>
        <w:t xml:space="preserve"> 3/ Organisation de la permanence des soins : Participation au tour de garde de WE sur le site de Neuilly sur Marne (une à deux fois par mois) et à la liste d’astreinte de nuit de médecin sénior (environ quatre par an).</w:t>
      </w:r>
    </w:p>
    <w:p>
      <w:pPr>
        <w:spacing w:after="0" w:line="240" w:lineRule="auto"/>
        <w:jc w:val="both"/>
        <w:rPr>
          <w:rFonts w:eastAsia="Times New Roman" w:cstheme="minorHAnsi"/>
          <w:lang w:eastAsia="fr-FR"/>
        </w:rPr>
      </w:pPr>
    </w:p>
    <w:p>
      <w:pPr>
        <w:spacing w:after="0" w:line="240" w:lineRule="auto"/>
        <w:jc w:val="both"/>
        <w:rPr>
          <w:rFonts w:eastAsia="Times New Roman" w:cstheme="minorHAnsi"/>
          <w:b/>
          <w:lang w:eastAsia="fr-FR"/>
        </w:rPr>
      </w:pPr>
      <w:r>
        <w:rPr>
          <w:rFonts w:eastAsia="Times New Roman" w:cstheme="minorHAnsi"/>
          <w:b/>
          <w:lang w:eastAsia="fr-FR"/>
        </w:rPr>
        <w:t>Objectifs et actions :</w:t>
      </w:r>
    </w:p>
    <w:p>
      <w:pPr>
        <w:spacing w:after="0" w:line="240" w:lineRule="auto"/>
        <w:jc w:val="both"/>
        <w:rPr>
          <w:rFonts w:eastAsiaTheme="minorEastAsia"/>
        </w:rPr>
      </w:pPr>
      <w:r>
        <w:rPr>
          <w:rFonts w:eastAsiaTheme="minorEastAsia"/>
        </w:rPr>
        <w:t>En collaboration avec les médecins de chacune des unités fonctionnelles du pôle, le médecin :</w:t>
      </w:r>
    </w:p>
    <w:p>
      <w:pPr>
        <w:spacing w:after="0" w:line="240" w:lineRule="auto"/>
        <w:jc w:val="both"/>
        <w:rPr>
          <w:rFonts w:eastAsiaTheme="minorEastAsia"/>
        </w:rPr>
      </w:pPr>
      <w:r>
        <w:rPr>
          <w:rFonts w:eastAsiaTheme="minorEastAsia"/>
        </w:rPr>
        <w:t>- Participe et coordonne une évaluation approfondie et multiaxiale (clinique, environnementale, sociale, éducatif, psychologique, neuropsychologique, pharmacologique etc…) avec un recours possible au plateau technique dont dispose le GHU Paris Psychiatrie Neurosciences.</w:t>
      </w:r>
    </w:p>
    <w:p>
      <w:pPr>
        <w:spacing w:after="0" w:line="240" w:lineRule="auto"/>
        <w:jc w:val="both"/>
        <w:rPr>
          <w:rFonts w:eastAsiaTheme="minorEastAsia"/>
        </w:rPr>
      </w:pPr>
      <w:r>
        <w:rPr>
          <w:rFonts w:eastAsiaTheme="minorEastAsia"/>
        </w:rPr>
        <w:lastRenderedPageBreak/>
        <w:t>- Participe à l’élaboration et la mise en œuvre des projets individualisés de soin et de réhabilitation, psychosociale des patients admis dans l’unité en collaboration avec les autres professionnels en veillant à la coordination des activités thérapeutiques</w:t>
      </w:r>
    </w:p>
    <w:p>
      <w:pPr>
        <w:spacing w:after="0" w:line="240" w:lineRule="auto"/>
        <w:jc w:val="both"/>
        <w:rPr>
          <w:rFonts w:eastAsiaTheme="minorEastAsia"/>
        </w:rPr>
      </w:pPr>
      <w:r>
        <w:rPr>
          <w:rFonts w:eastAsiaTheme="minorEastAsia"/>
        </w:rPr>
        <w:t>- Prend en charge directement des patients : entretien, prescriptions, psychothérapie.</w:t>
      </w:r>
    </w:p>
    <w:p>
      <w:pPr>
        <w:spacing w:after="0" w:line="240" w:lineRule="auto"/>
        <w:jc w:val="both"/>
        <w:rPr>
          <w:rFonts w:eastAsiaTheme="minorEastAsia"/>
        </w:rPr>
      </w:pPr>
      <w:r>
        <w:rPr>
          <w:rFonts w:eastAsiaTheme="minorEastAsia"/>
        </w:rPr>
        <w:t>- Participe aux staffs pluridisciplinaires, réunions de service, réunions de synthèse, échanges de pratiques cliniques avec les autres structures du même type,</w:t>
      </w:r>
    </w:p>
    <w:p>
      <w:pPr>
        <w:spacing w:after="0" w:line="240" w:lineRule="auto"/>
        <w:jc w:val="both"/>
        <w:rPr>
          <w:rFonts w:eastAsiaTheme="minorEastAsia"/>
        </w:rPr>
      </w:pPr>
      <w:r>
        <w:rPr>
          <w:rFonts w:eastAsiaTheme="minorEastAsia"/>
        </w:rPr>
        <w:t>- Travaille en lien avec les familles et les représentants légaux des patients.</w:t>
      </w:r>
    </w:p>
    <w:p>
      <w:pPr>
        <w:spacing w:after="0" w:line="240" w:lineRule="auto"/>
        <w:jc w:val="both"/>
        <w:rPr>
          <w:rFonts w:eastAsiaTheme="minorEastAsia"/>
        </w:rPr>
      </w:pPr>
      <w:r>
        <w:rPr>
          <w:rFonts w:eastAsiaTheme="minorEastAsia"/>
        </w:rPr>
        <w:t>- Participer à une politique de partenariat avec les autres structures sanitaires et les établissements médico-sociaux</w:t>
      </w:r>
    </w:p>
    <w:p>
      <w:pPr>
        <w:spacing w:after="0" w:line="240" w:lineRule="auto"/>
        <w:jc w:val="both"/>
        <w:rPr>
          <w:rFonts w:eastAsiaTheme="minorEastAsia"/>
        </w:rPr>
      </w:pPr>
      <w:r>
        <w:rPr>
          <w:rFonts w:eastAsiaTheme="minorEastAsia"/>
        </w:rPr>
        <w:t>- Participer à l’élaboration et au déploiement de programmes de réhabilitation psychosociales ciblées du pole.</w:t>
      </w:r>
    </w:p>
    <w:p>
      <w:pPr>
        <w:spacing w:after="0" w:line="240" w:lineRule="auto"/>
        <w:jc w:val="both"/>
        <w:rPr>
          <w:rFonts w:ascii="Century Gothic" w:eastAsia="Times New Roman" w:hAnsi="Century Gothic" w:cs="Times New Roman"/>
          <w:b/>
          <w:bCs/>
          <w:color w:val="008080"/>
          <w:sz w:val="20"/>
          <w:szCs w:val="20"/>
          <w:lang w:eastAsia="fr-FR"/>
        </w:rPr>
      </w:pPr>
    </w:p>
    <w:p>
      <w:pPr>
        <w:spacing w:after="0" w:line="240" w:lineRule="auto"/>
        <w:jc w:val="both"/>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MOYENS MIS EN ŒUVRE POUR REALISER LES ACTIONS ET ATTEINDRE LES OBJECTIFS</w:t>
      </w:r>
    </w:p>
    <w:p>
      <w:pPr>
        <w:spacing w:after="0" w:line="240" w:lineRule="auto"/>
        <w:jc w:val="both"/>
        <w:rPr>
          <w:rFonts w:ascii="Century Gothic" w:eastAsia="Times New Roman" w:hAnsi="Century Gothic" w:cs="Times New Roman"/>
          <w:b/>
          <w:bCs/>
          <w:color w:val="008080"/>
          <w:sz w:val="20"/>
          <w:szCs w:val="20"/>
          <w:lang w:eastAsia="fr-FR"/>
        </w:rPr>
      </w:pPr>
    </w:p>
    <w:p>
      <w:pPr>
        <w:spacing w:after="0" w:line="240" w:lineRule="auto"/>
        <w:jc w:val="both"/>
        <w:rPr>
          <w:rFonts w:eastAsia="Times New Roman" w:cstheme="minorHAnsi"/>
          <w:lang w:eastAsia="fr-FR"/>
        </w:rPr>
      </w:pPr>
      <w:r>
        <w:rPr>
          <w:rFonts w:eastAsia="Times New Roman" w:cstheme="minorHAnsi"/>
          <w:lang w:eastAsia="fr-FR"/>
        </w:rPr>
        <w:t xml:space="preserve">Le pôle dispose d’une équipe sanitaire composée de médecins, infirmiers, aides-soignants, psychologues, rééducateurs (psychomotriciens, ergothérapeutes, enseignants en sport adapté, sophrologue, </w:t>
      </w:r>
      <w:proofErr w:type="spellStart"/>
      <w:r>
        <w:rPr>
          <w:rFonts w:eastAsia="Times New Roman" w:cstheme="minorHAnsi"/>
          <w:lang w:eastAsia="fr-FR"/>
        </w:rPr>
        <w:t>socioesthéticienne</w:t>
      </w:r>
      <w:proofErr w:type="spellEnd"/>
      <w:r>
        <w:rPr>
          <w:rFonts w:eastAsia="Times New Roman" w:cstheme="minorHAnsi"/>
          <w:lang w:eastAsia="fr-FR"/>
        </w:rPr>
        <w:t>, éducateurs spécialisés, assistantes sociales et secrétaires qui se déploie sur trois unités fonctionnelles : deux unités d’hospitalisation respectivement dotées de 23 et 27 lits et d’une équipe mobile parcours complexe. Il fait également appel à des intervenants extérieurs pour élaborer des activités à valence culturelle (théâtre, photo, peinture, danse…).</w:t>
      </w:r>
    </w:p>
    <w:p>
      <w:pPr>
        <w:spacing w:after="0" w:line="240" w:lineRule="auto"/>
        <w:jc w:val="both"/>
        <w:rPr>
          <w:rFonts w:ascii="Century Gothic" w:eastAsia="Times New Roman" w:hAnsi="Century Gothic" w:cs="Times New Roman"/>
          <w:sz w:val="18"/>
          <w:szCs w:val="18"/>
          <w:lang w:eastAsia="fr-FR"/>
        </w:rPr>
      </w:pPr>
    </w:p>
    <w:p>
      <w:pPr>
        <w:spacing w:after="0" w:line="240" w:lineRule="auto"/>
        <w:jc w:val="both"/>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 xml:space="preserve">PROFIL </w:t>
      </w:r>
    </w:p>
    <w:p>
      <w:pPr>
        <w:spacing w:after="0" w:line="240" w:lineRule="auto"/>
        <w:jc w:val="both"/>
        <w:rPr>
          <w:rFonts w:ascii="Century Gothic" w:eastAsia="Times New Roman" w:hAnsi="Century Gothic" w:cs="Times New Roman"/>
          <w:b/>
          <w:bCs/>
          <w:color w:val="008080"/>
          <w:sz w:val="20"/>
          <w:szCs w:val="20"/>
          <w:lang w:eastAsia="fr-FR"/>
        </w:rPr>
      </w:pPr>
    </w:p>
    <w:p>
      <w:pPr>
        <w:spacing w:after="0"/>
        <w:jc w:val="both"/>
      </w:pPr>
      <w:r>
        <w:t>Médecin inscrit à l’ordre des médecins en psychiatrie.</w:t>
      </w:r>
    </w:p>
    <w:p>
      <w:pPr>
        <w:spacing w:after="0" w:line="240" w:lineRule="auto"/>
        <w:jc w:val="both"/>
        <w:rPr>
          <w:rFonts w:ascii="Century Gothic" w:eastAsia="Times New Roman" w:hAnsi="Century Gothic" w:cs="Times New Roman"/>
          <w:sz w:val="18"/>
          <w:szCs w:val="18"/>
          <w:lang w:eastAsia="fr-FR"/>
        </w:rPr>
      </w:pPr>
    </w:p>
    <w:p>
      <w:pPr>
        <w:spacing w:after="0" w:line="240" w:lineRule="auto"/>
        <w:jc w:val="both"/>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CONTACT</w:t>
      </w:r>
    </w:p>
    <w:p>
      <w:pPr>
        <w:spacing w:after="0" w:line="240" w:lineRule="auto"/>
        <w:jc w:val="both"/>
        <w:rPr>
          <w:rFonts w:ascii="Century Gothic" w:hAnsi="Century Gothic"/>
          <w:sz w:val="19"/>
          <w:szCs w:val="19"/>
        </w:rPr>
      </w:pPr>
    </w:p>
    <w:p>
      <w:pPr>
        <w:jc w:val="both"/>
      </w:pPr>
      <w:r>
        <w:t xml:space="preserve"> Les candidatures sont à adresser à :  </w:t>
      </w:r>
    </w:p>
    <w:p>
      <w:pPr>
        <w:jc w:val="both"/>
      </w:pPr>
      <w:r>
        <w:t xml:space="preserve">Docteur Brigitte OUHAYOUN, Cheffe de Pôle : </w:t>
      </w:r>
      <w:hyperlink r:id="rId17" w:history="1">
        <w:r>
          <w:rPr>
            <w:rStyle w:val="Lienhypertexte"/>
          </w:rPr>
          <w:t>brigitte.ouhayoun@ghu-paris.fr</w:t>
        </w:r>
      </w:hyperlink>
    </w:p>
    <w:p>
      <w:pPr>
        <w:jc w:val="both"/>
      </w:pPr>
    </w:p>
    <w:sectPr>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rPr>
        <w:noProof/>
        <w:lang w:eastAsia="fr-FR"/>
      </w:rPr>
      <w:drawing>
        <wp:anchor distT="0" distB="0" distL="114300" distR="114300" simplePos="0" relativeHeight="251664384" behindDoc="0" locked="0" layoutInCell="1" allowOverlap="1">
          <wp:simplePos x="0" y="0"/>
          <wp:positionH relativeFrom="margin">
            <wp:align>center</wp:align>
          </wp:positionH>
          <wp:positionV relativeFrom="paragraph">
            <wp:posOffset>51435</wp:posOffset>
          </wp:positionV>
          <wp:extent cx="6405843" cy="1057275"/>
          <wp:effectExtent l="0" t="0" r="0" b="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1739" t="45698" r="54200" b="37227"/>
                  <a:stretch/>
                </pic:blipFill>
                <pic:spPr bwMode="auto">
                  <a:xfrm>
                    <a:off x="0" y="0"/>
                    <a:ext cx="6405843" cy="1057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noProof/>
        <w:lang w:eastAsia="fr-FR"/>
      </w:rPr>
      <w:drawing>
        <wp:anchor distT="0" distB="0" distL="114300" distR="114300" simplePos="0" relativeHeight="251662336" behindDoc="0" locked="0" layoutInCell="1" allowOverlap="1">
          <wp:simplePos x="0" y="0"/>
          <wp:positionH relativeFrom="margin">
            <wp:posOffset>-434340</wp:posOffset>
          </wp:positionH>
          <wp:positionV relativeFrom="paragraph">
            <wp:posOffset>-247650</wp:posOffset>
          </wp:positionV>
          <wp:extent cx="6699584" cy="247650"/>
          <wp:effectExtent l="0" t="0" r="6350" b="0"/>
          <wp:wrapSquare wrapText="bothSides"/>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699584" cy="247650"/>
                  </a:xfrm>
                  <a:prstGeom prst="rect">
                    <a:avLst/>
                  </a:prstGeom>
                </pic:spPr>
              </pic:pic>
            </a:graphicData>
          </a:graphic>
          <wp14:sizeRelH relativeFrom="page">
            <wp14:pctWidth>0</wp14:pctWidth>
          </wp14:sizeRelH>
          <wp14:sizeRelV relativeFrom="page">
            <wp14:pctHeight>0</wp14:pctHeight>
          </wp14:sizeRelV>
        </wp:anchor>
      </w:drawing>
    </w:r>
  </w:p>
  <w:p>
    <w:pPr>
      <w:pStyle w:val="Pieddepage"/>
    </w:pPr>
    <w:r>
      <w:rPr>
        <w:noProof/>
        <w:lang w:eastAsia="fr-FR"/>
      </w:rPr>
      <mc:AlternateContent>
        <mc:Choice Requires="wps">
          <w:drawing>
            <wp:anchor distT="45720" distB="45720" distL="114300" distR="114300" simplePos="0" relativeHeight="251660288" behindDoc="0" locked="0" layoutInCell="1" allowOverlap="1">
              <wp:simplePos x="0" y="0"/>
              <wp:positionH relativeFrom="column">
                <wp:posOffset>2979420</wp:posOffset>
              </wp:positionH>
              <wp:positionV relativeFrom="paragraph">
                <wp:posOffset>13335</wp:posOffset>
              </wp:positionV>
              <wp:extent cx="2360930" cy="739140"/>
              <wp:effectExtent l="0" t="0" r="0" b="381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9140"/>
                      </a:xfrm>
                      <a:prstGeom prst="rect">
                        <a:avLst/>
                      </a:prstGeom>
                      <a:solidFill>
                        <a:srgbClr val="FFFFFF"/>
                      </a:solidFill>
                      <a:ln w="9525">
                        <a:noFill/>
                        <a:miter lim="800000"/>
                        <a:headEnd/>
                        <a:tailEnd/>
                      </a:ln>
                    </wps:spPr>
                    <wps:txbx>
                      <w:txbxContent>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GHU Paris psychiatrie &amp; neurosciences</w:t>
                          </w:r>
                        </w:p>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1 rue Cabanis, 75014 Paris</w:t>
                          </w:r>
                        </w:p>
                        <w:p>
                          <w:pPr>
                            <w:spacing w:after="0" w:line="240" w:lineRule="auto"/>
                            <w:rPr>
                              <w:rFonts w:ascii="Century Gothic" w:hAnsi="Century Gothic"/>
                              <w:color w:val="A6A6A6" w:themeColor="background1" w:themeShade="A6"/>
                              <w:sz w:val="16"/>
                            </w:rPr>
                          </w:pPr>
                          <w:hyperlink r:id="rId3" w:history="1">
                            <w:r>
                              <w:rPr>
                                <w:rStyle w:val="Lienhypertexte"/>
                                <w:rFonts w:ascii="Century Gothic" w:hAnsi="Century Gothic"/>
                                <w:sz w:val="16"/>
                              </w:rPr>
                              <w:t>www.ghu-paris.fr</w:t>
                            </w:r>
                          </w:hyperlink>
                          <w:r>
                            <w:rPr>
                              <w:rFonts w:ascii="Century Gothic" w:hAnsi="Century Gothic"/>
                              <w:color w:val="A6A6A6" w:themeColor="background1" w:themeShade="A6"/>
                              <w:sz w:val="16"/>
                            </w:rPr>
                            <w:t xml:space="preserve"> </w:t>
                          </w: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p>
                        <w:p>
                          <w:pPr>
                            <w:rPr>
                              <w:rFonts w:ascii="Century Gothic" w:hAnsi="Century Gothic"/>
                              <w:color w:val="A6A6A6" w:themeColor="background1" w:themeShade="A6"/>
                              <w:sz w:val="16"/>
                            </w:rPr>
                          </w:pP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r>
                            <w:rPr>
                              <w:rFonts w:ascii="Century Gothic" w:hAnsi="Century Gothic"/>
                              <w:color w:val="A6A6A6" w:themeColor="background1" w:themeShade="A6"/>
                              <w:sz w:val="16"/>
                            </w:rPr>
                            <w:t>1</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34.6pt;margin-top:1.05pt;width:185.9pt;height:58.2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" stroked="f">
              <v:textbox>
                <w:txbxContent>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GHU Paris psychiatrie &amp; neurosciences</w:t>
                    </w:r>
                  </w:p>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1 rue Cabanis, 75014 Paris</w:t>
                    </w:r>
                  </w:p>
                  <w:p>
                    <w:pPr>
                      <w:spacing w:after="0" w:line="240" w:lineRule="auto"/>
                      <w:rPr>
                        <w:rFonts w:ascii="Century Gothic" w:hAnsi="Century Gothic"/>
                        <w:color w:val="A6A6A6" w:themeColor="background1" w:themeShade="A6"/>
                        <w:sz w:val="16"/>
                      </w:rPr>
                    </w:pPr>
                    <w:hyperlink r:id="rId4" w:history="1">
                      <w:r>
                        <w:rPr>
                          <w:rStyle w:val="Lienhypertexte"/>
                          <w:rFonts w:ascii="Century Gothic" w:hAnsi="Century Gothic"/>
                          <w:sz w:val="16"/>
                        </w:rPr>
                        <w:t>www.ghu-paris.fr</w:t>
                      </w:r>
                    </w:hyperlink>
                    <w:r>
                      <w:rPr>
                        <w:rFonts w:ascii="Century Gothic" w:hAnsi="Century Gothic"/>
                        <w:color w:val="A6A6A6" w:themeColor="background1" w:themeShade="A6"/>
                        <w:sz w:val="16"/>
                      </w:rPr>
                      <w:t xml:space="preserve"> </w:t>
                    </w: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p>
                  <w:p>
                    <w:pPr>
                      <w:rPr>
                        <w:rFonts w:ascii="Century Gothic" w:hAnsi="Century Gothic"/>
                        <w:color w:val="A6A6A6" w:themeColor="background1" w:themeShade="A6"/>
                        <w:sz w:val="16"/>
                      </w:rPr>
                    </w:pP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r>
                      <w:rPr>
                        <w:rFonts w:ascii="Century Gothic" w:hAnsi="Century Gothic"/>
                        <w:color w:val="A6A6A6" w:themeColor="background1" w:themeShade="A6"/>
                        <w:sz w:val="16"/>
                      </w:rPr>
                      <w:t>1</w:t>
                    </w:r>
                  </w:p>
                </w:txbxContent>
              </v:textbox>
              <w10:wrap type="square"/>
            </v:shape>
          </w:pict>
        </mc:Fallback>
      </mc:AlternateContent>
    </w:r>
    <w:r>
      <w:rPr>
        <w:rFonts w:ascii="Century Gothic" w:hAnsi="Century Gothic"/>
        <w:caps/>
        <w:noProof/>
        <w:color w:val="404040" w:themeColor="text1" w:themeTint="BF"/>
        <w:sz w:val="32"/>
        <w:lang w:eastAsia="fr-FR"/>
      </w:rPr>
      <w:drawing>
        <wp:anchor distT="0" distB="0" distL="114300" distR="114300" simplePos="0" relativeHeight="251659264" behindDoc="1" locked="0" layoutInCell="1" allowOverlap="1">
          <wp:simplePos x="0" y="0"/>
          <wp:positionH relativeFrom="column">
            <wp:posOffset>1566545</wp:posOffset>
          </wp:positionH>
          <wp:positionV relativeFrom="paragraph">
            <wp:posOffset>36830</wp:posOffset>
          </wp:positionV>
          <wp:extent cx="1335405" cy="380365"/>
          <wp:effectExtent l="0" t="0" r="0" b="635"/>
          <wp:wrapTight wrapText="bothSides">
            <wp:wrapPolygon edited="0">
              <wp:start x="2773" y="0"/>
              <wp:lineTo x="1233" y="2164"/>
              <wp:lineTo x="0" y="9736"/>
              <wp:lineTo x="0" y="20554"/>
              <wp:lineTo x="3081" y="20554"/>
              <wp:lineTo x="21261" y="20554"/>
              <wp:lineTo x="21261" y="0"/>
              <wp:lineTo x="2773" y="0"/>
            </wp:wrapPolygon>
          </wp:wrapTight>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logo ghu.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5405" cy="380365"/>
                  </a:xfrm>
                  <a:prstGeom prst="rect">
                    <a:avLst/>
                  </a:prstGeom>
                </pic:spPr>
              </pic:pic>
            </a:graphicData>
          </a:graphic>
          <wp14:sizeRelH relativeFrom="page">
            <wp14:pctWidth>0</wp14:pctWidth>
          </wp14:sizeRelH>
          <wp14:sizeRelV relativeFrom="page">
            <wp14:pctHeight>0</wp14:pctHeight>
          </wp14:sizeRelV>
        </wp:anchor>
      </w:drawing>
    </w:r>
  </w:p>
  <w:p>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C00"/>
    <w:multiLevelType w:val="hybridMultilevel"/>
    <w:tmpl w:val="1CEE30EC"/>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F07346"/>
    <w:multiLevelType w:val="multilevel"/>
    <w:tmpl w:val="1550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A4E71"/>
    <w:multiLevelType w:val="multilevel"/>
    <w:tmpl w:val="0AEE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63189"/>
    <w:multiLevelType w:val="multilevel"/>
    <w:tmpl w:val="00D2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07507"/>
    <w:multiLevelType w:val="hybridMultilevel"/>
    <w:tmpl w:val="B134C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997F50"/>
    <w:multiLevelType w:val="hybridMultilevel"/>
    <w:tmpl w:val="C8C4BFC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D1348C"/>
    <w:multiLevelType w:val="multilevel"/>
    <w:tmpl w:val="1768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C36BEC"/>
    <w:multiLevelType w:val="multilevel"/>
    <w:tmpl w:val="DE7E04CE"/>
    <w:lvl w:ilvl="0">
      <w:start w:val="1"/>
      <w:numFmt w:val="decimal"/>
      <w:lvlText w:val="%1-"/>
      <w:lvlJc w:val="left"/>
      <w:pPr>
        <w:ind w:left="360" w:hanging="360"/>
      </w:pPr>
      <w:rPr>
        <w:rFonts w:hint="default"/>
      </w:rPr>
    </w:lvl>
    <w:lvl w:ilvl="1">
      <w:numFmt w:val="bullet"/>
      <w:lvlText w:val="-"/>
      <w:lvlJc w:val="left"/>
      <w:pPr>
        <w:ind w:left="720" w:hanging="360"/>
      </w:pPr>
      <w:rPr>
        <w:rFonts w:ascii="Garamond" w:eastAsiaTheme="minorHAnsi" w:hAnsi="Garamond" w:cstheme="minorBid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D755C7"/>
    <w:multiLevelType w:val="hybridMultilevel"/>
    <w:tmpl w:val="0518A20C"/>
    <w:lvl w:ilvl="0" w:tplc="87FC56B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7A5B4D"/>
    <w:multiLevelType w:val="multilevel"/>
    <w:tmpl w:val="855C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956EEC"/>
    <w:multiLevelType w:val="hybridMultilevel"/>
    <w:tmpl w:val="6AE8E538"/>
    <w:lvl w:ilvl="0" w:tplc="87FC56B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320D1B"/>
    <w:multiLevelType w:val="hybridMultilevel"/>
    <w:tmpl w:val="F9444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7776C5"/>
    <w:multiLevelType w:val="hybridMultilevel"/>
    <w:tmpl w:val="E898CB8E"/>
    <w:lvl w:ilvl="0" w:tplc="87FC56B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DB12A0"/>
    <w:multiLevelType w:val="hybridMultilevel"/>
    <w:tmpl w:val="C28647E2"/>
    <w:lvl w:ilvl="0" w:tplc="4CB8A314">
      <w:start w:val="29"/>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374CF6"/>
    <w:multiLevelType w:val="multilevel"/>
    <w:tmpl w:val="8688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7D0E10"/>
    <w:multiLevelType w:val="hybridMultilevel"/>
    <w:tmpl w:val="FDEE3DA8"/>
    <w:lvl w:ilvl="0" w:tplc="87FC56B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1D134A"/>
    <w:multiLevelType w:val="multilevel"/>
    <w:tmpl w:val="855C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74393"/>
    <w:multiLevelType w:val="hybridMultilevel"/>
    <w:tmpl w:val="AC7201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6776B3"/>
    <w:multiLevelType w:val="hybridMultilevel"/>
    <w:tmpl w:val="F2C63E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A846D3F"/>
    <w:multiLevelType w:val="hybridMultilevel"/>
    <w:tmpl w:val="3AA89D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AD0131"/>
    <w:multiLevelType w:val="hybridMultilevel"/>
    <w:tmpl w:val="C478B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810479"/>
    <w:multiLevelType w:val="hybridMultilevel"/>
    <w:tmpl w:val="FC980EFE"/>
    <w:lvl w:ilvl="0" w:tplc="040C0001">
      <w:start w:val="1"/>
      <w:numFmt w:val="bullet"/>
      <w:lvlText w:val=""/>
      <w:lvlJc w:val="left"/>
      <w:pPr>
        <w:ind w:left="915" w:hanging="360"/>
      </w:pPr>
      <w:rPr>
        <w:rFonts w:ascii="Symbol" w:hAnsi="Symbol"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22" w15:restartNumberingAfterBreak="0">
    <w:nsid w:val="638A78FD"/>
    <w:multiLevelType w:val="multilevel"/>
    <w:tmpl w:val="94E6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7B0014"/>
    <w:multiLevelType w:val="hybridMultilevel"/>
    <w:tmpl w:val="60E6C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7863BE5"/>
    <w:multiLevelType w:val="multilevel"/>
    <w:tmpl w:val="DB80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4"/>
  </w:num>
  <w:num w:numId="3">
    <w:abstractNumId w:val="22"/>
  </w:num>
  <w:num w:numId="4">
    <w:abstractNumId w:val="2"/>
  </w:num>
  <w:num w:numId="5">
    <w:abstractNumId w:val="1"/>
  </w:num>
  <w:num w:numId="6">
    <w:abstractNumId w:val="6"/>
  </w:num>
  <w:num w:numId="7">
    <w:abstractNumId w:val="14"/>
  </w:num>
  <w:num w:numId="8">
    <w:abstractNumId w:val="9"/>
  </w:num>
  <w:num w:numId="9">
    <w:abstractNumId w:val="20"/>
  </w:num>
  <w:num w:numId="10">
    <w:abstractNumId w:val="17"/>
  </w:num>
  <w:num w:numId="11">
    <w:abstractNumId w:val="4"/>
  </w:num>
  <w:num w:numId="12">
    <w:abstractNumId w:val="23"/>
  </w:num>
  <w:num w:numId="13">
    <w:abstractNumId w:val="21"/>
  </w:num>
  <w:num w:numId="14">
    <w:abstractNumId w:val="13"/>
  </w:num>
  <w:num w:numId="15">
    <w:abstractNumId w:val="5"/>
  </w:num>
  <w:num w:numId="16">
    <w:abstractNumId w:val="19"/>
  </w:num>
  <w:num w:numId="17">
    <w:abstractNumId w:val="11"/>
  </w:num>
  <w:num w:numId="18">
    <w:abstractNumId w:val="18"/>
  </w:num>
  <w:num w:numId="19">
    <w:abstractNumId w:val="0"/>
  </w:num>
  <w:num w:numId="20">
    <w:abstractNumId w:val="3"/>
  </w:num>
  <w:num w:numId="21">
    <w:abstractNumId w:val="12"/>
  </w:num>
  <w:num w:numId="22">
    <w:abstractNumId w:val="7"/>
  </w:num>
  <w:num w:numId="23">
    <w:abstractNumId w:val="15"/>
  </w:num>
  <w:num w:numId="24">
    <w:abstractNumId w:val="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E2A451-F40C-40B2-A178-A674F91F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5">
    <w:name w:val="heading 5"/>
    <w:basedOn w:val="Normal"/>
    <w:link w:val="Titre5Car"/>
    <w:uiPriority w:val="9"/>
    <w:qFormat/>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u w:val="single"/>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styleId="Lienhypertextesuivivisit">
    <w:name w:val="FollowedHyperlink"/>
    <w:basedOn w:val="Policepardfaut"/>
    <w:uiPriority w:val="99"/>
    <w:semiHidden/>
    <w:unhideWhenUsed/>
    <w:rPr>
      <w:color w:val="954F72" w:themeColor="followedHyperlink"/>
      <w:u w:val="single"/>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customStyle="1" w:styleId="Titre5Car">
    <w:name w:val="Titre 5 Car"/>
    <w:basedOn w:val="Policepardfaut"/>
    <w:link w:val="Titre5"/>
    <w:uiPriority w:val="9"/>
    <w:rPr>
      <w:rFonts w:ascii="Times New Roman" w:eastAsia="Times New Roman" w:hAnsi="Times New Roman" w:cs="Times New Roman"/>
      <w:b/>
      <w:bCs/>
      <w:sz w:val="20"/>
      <w:szCs w:val="20"/>
      <w:lang w:eastAsia="fr-FR"/>
    </w:rPr>
  </w:style>
  <w:style w:type="character" w:styleId="lev">
    <w:name w:val="Strong"/>
    <w:basedOn w:val="Policepardfaut"/>
    <w:uiPriority w:val="22"/>
    <w:qFormat/>
    <w:rPr>
      <w:b/>
      <w:bCs/>
    </w:rPr>
  </w:style>
  <w:style w:type="character" w:styleId="Mentionnonrsolue">
    <w:name w:val="Unresolved Mention"/>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12022">
      <w:bodyDiv w:val="1"/>
      <w:marLeft w:val="0"/>
      <w:marRight w:val="0"/>
      <w:marTop w:val="0"/>
      <w:marBottom w:val="0"/>
      <w:divBdr>
        <w:top w:val="none" w:sz="0" w:space="0" w:color="auto"/>
        <w:left w:val="none" w:sz="0" w:space="0" w:color="auto"/>
        <w:bottom w:val="none" w:sz="0" w:space="0" w:color="auto"/>
        <w:right w:val="none" w:sz="0" w:space="0" w:color="auto"/>
      </w:divBdr>
    </w:div>
    <w:div w:id="1593121704">
      <w:bodyDiv w:val="1"/>
      <w:marLeft w:val="0"/>
      <w:marRight w:val="0"/>
      <w:marTop w:val="0"/>
      <w:marBottom w:val="0"/>
      <w:divBdr>
        <w:top w:val="none" w:sz="0" w:space="0" w:color="auto"/>
        <w:left w:val="none" w:sz="0" w:space="0" w:color="auto"/>
        <w:bottom w:val="none" w:sz="0" w:space="0" w:color="auto"/>
        <w:right w:val="none" w:sz="0" w:space="0" w:color="auto"/>
      </w:divBdr>
    </w:div>
    <w:div w:id="186590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meo.com/307689792"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hu-paris.fr/fr/2019-ght-devient-ghu-paris/" TargetMode="External"/><Relationship Id="rId17" Type="http://schemas.openxmlformats.org/officeDocument/2006/relationships/hyperlink" Target="mailto:brigitte.ouhayoun@ghu-paris.fr" TargetMode="External"/><Relationship Id="rId2" Type="http://schemas.openxmlformats.org/officeDocument/2006/relationships/customXml" Target="../customXml/item2.xml"/><Relationship Id="rId16" Type="http://schemas.openxmlformats.org/officeDocument/2006/relationships/hyperlink" Target="https://www.linkedin.com/company/ghu-pari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ghu-paris.f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hu-paris.fr/fr/le-ghu-paris-recrute-rejoignez-nous-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ghu-paris.fr"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www.ghu-pari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92b1a2b-e640-4cde-9745-6c56e5f179ab" xsi:nil="true"/>
    <lcf76f155ced4ddcb4097134ff3c332f xmlns="8e6cc563-bf01-40f1-afcd-6e8854baaa7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0FB6F75D501047A51DDE3577EB4688" ma:contentTypeVersion="12" ma:contentTypeDescription="Crée un document." ma:contentTypeScope="" ma:versionID="cb83f0ed7d39642a8705edb58cf5d172">
  <xsd:schema xmlns:xsd="http://www.w3.org/2001/XMLSchema" xmlns:xs="http://www.w3.org/2001/XMLSchema" xmlns:p="http://schemas.microsoft.com/office/2006/metadata/properties" xmlns:ns2="8e6cc563-bf01-40f1-afcd-6e8854baaa7a" xmlns:ns3="f92b1a2b-e640-4cde-9745-6c56e5f179ab" targetNamespace="http://schemas.microsoft.com/office/2006/metadata/properties" ma:root="true" ma:fieldsID="ac171713e48912f7a98965f527fb17ce" ns2:_="" ns3:_="">
    <xsd:import namespace="8e6cc563-bf01-40f1-afcd-6e8854baaa7a"/>
    <xsd:import namespace="f92b1a2b-e640-4cde-9745-6c56e5f179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cc563-bf01-40f1-afcd-6e8854baa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9c3d124-0429-4acf-9a17-34139c3c40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2b1a2b-e640-4cde-9745-6c56e5f179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123627-3413-4d1f-9e4a-a4f06e213f84}" ma:internalName="TaxCatchAll" ma:showField="CatchAllData" ma:web="f92b1a2b-e640-4cde-9745-6c56e5f179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7DADD-281A-41C5-AB70-7188AE9AC467}">
  <ds:schemaRefs>
    <ds:schemaRef ds:uri="http://schemas.microsoft.com/sharepoint/v3/contenttype/forms"/>
  </ds:schemaRefs>
</ds:datastoreItem>
</file>

<file path=customXml/itemProps2.xml><?xml version="1.0" encoding="utf-8"?>
<ds:datastoreItem xmlns:ds="http://schemas.openxmlformats.org/officeDocument/2006/customXml" ds:itemID="{386E4888-D80F-442C-AE25-7A6E2D0B13D5}">
  <ds:schemaRefs>
    <ds:schemaRef ds:uri="http://schemas.microsoft.com/office/2006/metadata/properties"/>
    <ds:schemaRef ds:uri="http://schemas.microsoft.com/office/infopath/2007/PartnerControls"/>
    <ds:schemaRef ds:uri="f92b1a2b-e640-4cde-9745-6c56e5f179ab"/>
    <ds:schemaRef ds:uri="8e6cc563-bf01-40f1-afcd-6e8854baaa7a"/>
  </ds:schemaRefs>
</ds:datastoreItem>
</file>

<file path=customXml/itemProps3.xml><?xml version="1.0" encoding="utf-8"?>
<ds:datastoreItem xmlns:ds="http://schemas.openxmlformats.org/officeDocument/2006/customXml" ds:itemID="{BB312F83-1471-4099-AAAC-F5F2D97CF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cc563-bf01-40f1-afcd-6e8854baaa7a"/>
    <ds:schemaRef ds:uri="f92b1a2b-e640-4cde-9745-6c56e5f17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FB998D-787B-4ECB-BCCC-BFE9692EA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1013</Words>
  <Characters>5573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CHSA</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SABIN Sophie</dc:creator>
  <cp:lastModifiedBy>REY Mathilde</cp:lastModifiedBy>
  <cp:revision>6</cp:revision>
  <cp:lastPrinted>2018-03-21T10:31:00Z</cp:lastPrinted>
  <dcterms:created xsi:type="dcterms:W3CDTF">2026-06-02T15:00:00Z</dcterms:created>
  <dcterms:modified xsi:type="dcterms:W3CDTF">2026-06-03T08:24:00Z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0x010100A80FB6F75D501047A51DDE3577EB4688</vt:lpwstr>
  </property>
</Properties>
</file>