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p>
    <w:p>
      <w:pPr>
        <w:spacing w:after="0" w:line="240" w:lineRule="auto"/>
        <w:jc w:val="center"/>
        <w:rPr>
          <w:rFonts w:ascii="Century Gothic" w:hAnsi="Century Gothic"/>
          <w:b/>
          <w:color w:val="008080"/>
        </w:rPr>
      </w:pPr>
    </w:p>
    <w:p>
      <w:pPr>
        <w:spacing w:after="0" w:line="240" w:lineRule="auto"/>
        <w:jc w:val="center"/>
        <w:rPr>
          <w:rFonts w:ascii="Century Gothic" w:hAnsi="Century Gothic"/>
          <w:b/>
          <w:color w:val="008080"/>
        </w:rPr>
      </w:pPr>
      <w:r>
        <w:rPr>
          <w:rFonts w:ascii="Century Gothic" w:hAnsi="Century Gothic"/>
          <w:b/>
          <w:color w:val="008080"/>
        </w:rPr>
        <w:t xml:space="preserve">PRATICIEN HOSPITALIER / NPC – Poste de Psychiatre Addictologue au </w:t>
      </w:r>
    </w:p>
    <w:p>
      <w:pPr>
        <w:spacing w:after="0" w:line="240" w:lineRule="auto"/>
        <w:jc w:val="center"/>
        <w:rPr>
          <w:rFonts w:ascii="Century Gothic" w:hAnsi="Century Gothic"/>
          <w:b/>
          <w:color w:val="008080"/>
        </w:rPr>
      </w:pPr>
      <w:r>
        <w:rPr>
          <w:rFonts w:ascii="Century Gothic" w:hAnsi="Century Gothic"/>
          <w:b/>
          <w:color w:val="008080"/>
        </w:rPr>
        <w:t xml:space="preserve"> CSAPA Moreau de Tours</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 xml:space="preserve">Statut </w:t>
            </w:r>
          </w:p>
        </w:tc>
        <w:tc>
          <w:tcPr>
            <w:tcW w:w="5806" w:type="dxa"/>
          </w:tcPr>
          <w:p>
            <w:pPr>
              <w:rPr>
                <w:rFonts w:ascii="Century Gothic" w:hAnsi="Century Gothic"/>
                <w:sz w:val="19"/>
                <w:szCs w:val="19"/>
              </w:rPr>
            </w:pPr>
            <w:r>
              <w:rPr>
                <w:rFonts w:ascii="Century Gothic" w:hAnsi="Century Gothic"/>
                <w:sz w:val="19"/>
                <w:szCs w:val="19"/>
              </w:rPr>
              <w:t>PRATICIEN HOSPITALIER /NPC – 100% Temps plein</w:t>
            </w: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 xml:space="preserve">Médecin Psychiatre </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CSAPA Moreau de Tours - Localisation sur le site Sainte Anne et antenne de la Prison de la Santé</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Horaires de semaine et de jour, pas d’astreinte de nuit ou de week-end</w:t>
            </w:r>
          </w:p>
          <w:p>
            <w:pPr>
              <w:rPr>
                <w:rFonts w:ascii="Century Gothic" w:hAnsi="Century Gothic"/>
                <w:sz w:val="19"/>
                <w:szCs w:val="19"/>
              </w:rPr>
            </w:pPr>
            <w:r>
              <w:rPr>
                <w:rFonts w:ascii="Century Gothic" w:hAnsi="Century Gothic"/>
                <w:sz w:val="19"/>
                <w:szCs w:val="19"/>
              </w:rPr>
              <w:t>Participation au tour de garde du CPOA (environ 1 garde par mois) avec repos compensateur.</w:t>
            </w: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textAlignment w:val="baseline"/>
              <w:rPr>
                <w:rFonts w:ascii="Century Gothic" w:hAnsi="Century Gothic"/>
                <w:sz w:val="19"/>
                <w:szCs w:val="19"/>
              </w:rPr>
            </w:pPr>
            <w:r>
              <w:rPr>
                <w:rFonts w:ascii="Century Gothic" w:hAnsi="Century Gothic"/>
                <w:sz w:val="19"/>
                <w:szCs w:val="19"/>
              </w:rPr>
              <w:t>ADDICTOLOGIE</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Mai 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Chef de Service : Dr Florence Martinez - florence.martinez@ghu-paris.fr</w:t>
            </w:r>
          </w:p>
          <w:p>
            <w:pPr>
              <w:rPr>
                <w:rFonts w:ascii="Century Gothic" w:hAnsi="Century Gothic"/>
                <w:sz w:val="19"/>
                <w:szCs w:val="19"/>
              </w:rPr>
            </w:pPr>
            <w:r>
              <w:rPr>
                <w:rFonts w:ascii="Century Gothic" w:hAnsi="Century Gothic"/>
                <w:sz w:val="19"/>
                <w:szCs w:val="19"/>
              </w:rPr>
              <w:t>Chef de Pôle : Dr Chloé Lucet - C.LUCET@ghu-paris.fr</w:t>
            </w: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2"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3"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4"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5"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6" w:history="1">
        <w:r>
          <w:rPr>
            <w:rStyle w:val="Lienhypertexte"/>
            <w:rFonts w:ascii="Century Gothic" w:hAnsi="Century Gothic"/>
          </w:rPr>
          <w:t>Ghu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DESCRIPTION DU PÔLE/SERVICE</w:t>
      </w:r>
    </w:p>
    <w:p>
      <w:pPr>
        <w:spacing w:after="0" w:line="240" w:lineRule="auto"/>
        <w:rPr>
          <w:rFonts w:ascii="Century Gothic" w:eastAsia="Times New Roman" w:hAnsi="Century Gothic" w:cs="Times New Roman"/>
          <w:b/>
          <w:bCs/>
          <w:color w:val="008080"/>
          <w:sz w:val="20"/>
          <w:szCs w:val="20"/>
          <w:lang w:eastAsia="fr-FR"/>
        </w:rPr>
      </w:pPr>
    </w:p>
    <w:p>
      <w:pPr>
        <w:jc w:val="both"/>
        <w:rPr>
          <w:rFonts w:cstheme="minorHAnsi"/>
          <w:sz w:val="24"/>
          <w:szCs w:val="24"/>
        </w:rPr>
      </w:pPr>
      <w:r>
        <w:rPr>
          <w:rFonts w:cstheme="minorHAnsi"/>
          <w:sz w:val="24"/>
          <w:szCs w:val="24"/>
        </w:rPr>
        <w:t>Ce service de consultation prend en charge des patients avec des addictions aux substances ou comportementales, avec ou sans comorbidités psychiatriques.</w:t>
      </w:r>
      <w:r>
        <w:rPr>
          <w:rFonts w:cstheme="minorHAnsi"/>
          <w:sz w:val="24"/>
          <w:szCs w:val="24"/>
        </w:rPr>
        <w:tab/>
      </w:r>
    </w:p>
    <w:p>
      <w:pPr>
        <w:spacing w:after="0"/>
        <w:jc w:val="both"/>
        <w:rPr>
          <w:rFonts w:cstheme="minorHAnsi"/>
          <w:sz w:val="24"/>
          <w:szCs w:val="24"/>
          <w:u w:val="single"/>
        </w:rPr>
      </w:pPr>
      <w:r>
        <w:rPr>
          <w:rFonts w:cstheme="minorHAnsi"/>
          <w:sz w:val="24"/>
          <w:szCs w:val="24"/>
        </w:rPr>
        <w:t>Service de consultation d’addictologie :</w:t>
      </w:r>
    </w:p>
    <w:p>
      <w:pPr>
        <w:pStyle w:val="Paragraphedeliste"/>
        <w:numPr>
          <w:ilvl w:val="0"/>
          <w:numId w:val="26"/>
        </w:numPr>
        <w:spacing w:after="0"/>
        <w:jc w:val="both"/>
        <w:rPr>
          <w:rFonts w:cstheme="minorHAnsi"/>
          <w:sz w:val="24"/>
          <w:szCs w:val="24"/>
        </w:rPr>
      </w:pPr>
      <w:r>
        <w:rPr>
          <w:rFonts w:cstheme="minorHAnsi"/>
          <w:sz w:val="24"/>
          <w:szCs w:val="24"/>
        </w:rPr>
        <w:t>Consultations matin et après-midi</w:t>
      </w:r>
    </w:p>
    <w:p>
      <w:pPr>
        <w:pStyle w:val="Paragraphedeliste"/>
        <w:numPr>
          <w:ilvl w:val="0"/>
          <w:numId w:val="26"/>
        </w:numPr>
        <w:spacing w:after="0"/>
        <w:jc w:val="both"/>
        <w:rPr>
          <w:rFonts w:cstheme="minorHAnsi"/>
          <w:sz w:val="24"/>
          <w:szCs w:val="24"/>
        </w:rPr>
      </w:pPr>
      <w:r>
        <w:rPr>
          <w:rFonts w:cstheme="minorHAnsi"/>
          <w:sz w:val="24"/>
          <w:szCs w:val="24"/>
        </w:rPr>
        <w:t>Staff quotidien à 12h00</w:t>
      </w:r>
    </w:p>
    <w:p>
      <w:pPr>
        <w:pStyle w:val="Paragraphedeliste"/>
        <w:numPr>
          <w:ilvl w:val="0"/>
          <w:numId w:val="26"/>
        </w:numPr>
        <w:spacing w:after="0"/>
        <w:jc w:val="both"/>
        <w:rPr>
          <w:rFonts w:cstheme="minorHAnsi"/>
          <w:sz w:val="24"/>
          <w:szCs w:val="24"/>
        </w:rPr>
      </w:pPr>
      <w:r>
        <w:rPr>
          <w:rFonts w:cstheme="minorHAnsi"/>
          <w:sz w:val="24"/>
          <w:szCs w:val="24"/>
        </w:rPr>
        <w:t>Possibilité de journées sur l’antenne de la Prison de la Santé</w:t>
      </w:r>
    </w:p>
    <w:p>
      <w:pPr>
        <w:pStyle w:val="Paragraphedeliste"/>
        <w:ind w:left="0"/>
        <w:jc w:val="both"/>
        <w:rPr>
          <w:rFonts w:cstheme="minorHAnsi"/>
          <w:sz w:val="24"/>
          <w:szCs w:val="24"/>
        </w:rPr>
      </w:pPr>
    </w:p>
    <w:p>
      <w:pPr>
        <w:pStyle w:val="Paragraphedeliste"/>
        <w:ind w:left="0"/>
        <w:jc w:val="both"/>
        <w:rPr>
          <w:rFonts w:cstheme="minorHAnsi"/>
          <w:sz w:val="24"/>
          <w:szCs w:val="24"/>
        </w:rPr>
      </w:pPr>
      <w:r>
        <w:rPr>
          <w:rFonts w:cstheme="minorHAnsi"/>
          <w:sz w:val="24"/>
          <w:szCs w:val="24"/>
        </w:rPr>
        <w:t>Patients avec des addictions aux substances ou comportementales, avec comorbidités psychiatriques ou sans :</w:t>
      </w:r>
      <w:r>
        <w:rPr>
          <w:rFonts w:cstheme="minorHAnsi"/>
          <w:sz w:val="24"/>
          <w:szCs w:val="24"/>
        </w:rPr>
        <w:tab/>
      </w:r>
    </w:p>
    <w:p>
      <w:pPr>
        <w:pStyle w:val="Paragraphedeliste"/>
        <w:numPr>
          <w:ilvl w:val="0"/>
          <w:numId w:val="27"/>
        </w:numPr>
        <w:spacing w:after="0"/>
        <w:jc w:val="both"/>
        <w:rPr>
          <w:rFonts w:cstheme="minorHAnsi"/>
          <w:sz w:val="24"/>
          <w:szCs w:val="24"/>
        </w:rPr>
      </w:pPr>
      <w:r>
        <w:rPr>
          <w:rFonts w:cstheme="minorHAnsi"/>
          <w:sz w:val="24"/>
          <w:szCs w:val="24"/>
        </w:rPr>
        <w:t>Prises en charge individuelle et/ou institutionnelles (infirmier, psychologues, AS).</w:t>
      </w:r>
    </w:p>
    <w:p>
      <w:pPr>
        <w:pStyle w:val="Paragraphedeliste"/>
        <w:numPr>
          <w:ilvl w:val="0"/>
          <w:numId w:val="27"/>
        </w:numPr>
        <w:spacing w:after="0"/>
        <w:jc w:val="both"/>
        <w:rPr>
          <w:rFonts w:cstheme="minorHAnsi"/>
          <w:sz w:val="24"/>
          <w:szCs w:val="24"/>
        </w:rPr>
      </w:pPr>
      <w:r>
        <w:rPr>
          <w:rFonts w:cstheme="minorHAnsi"/>
          <w:sz w:val="24"/>
          <w:szCs w:val="24"/>
        </w:rPr>
        <w:t>Quelques activités spécifiques : addiction et douleur, addiction et THADA, consultation pour les proches, ETP tabac, addiction et hépatites, prévention de l’overdose…</w:t>
      </w:r>
    </w:p>
    <w:p>
      <w:pPr>
        <w:jc w:val="both"/>
        <w:rPr>
          <w:rFonts w:cstheme="minorHAnsi"/>
          <w:sz w:val="24"/>
          <w:szCs w:val="24"/>
        </w:rPr>
      </w:pPr>
    </w:p>
    <w:p>
      <w:pPr>
        <w:jc w:val="both"/>
        <w:rPr>
          <w:rFonts w:cstheme="minorHAnsi"/>
          <w:sz w:val="24"/>
          <w:szCs w:val="24"/>
        </w:rPr>
      </w:pPr>
      <w:r>
        <w:rPr>
          <w:rFonts w:cstheme="minorHAnsi"/>
          <w:sz w:val="24"/>
          <w:szCs w:val="24"/>
        </w:rPr>
        <w:t>Réunion de synthèse clinique et bibliographique le vendredi après-midi.</w:t>
      </w:r>
    </w:p>
    <w:p>
      <w:pPr>
        <w:jc w:val="both"/>
        <w:rPr>
          <w:rFonts w:cstheme="minorHAnsi"/>
          <w:sz w:val="24"/>
          <w:szCs w:val="24"/>
        </w:rPr>
      </w:pPr>
      <w:r>
        <w:rPr>
          <w:rFonts w:cstheme="minorHAnsi"/>
          <w:sz w:val="24"/>
          <w:szCs w:val="24"/>
        </w:rPr>
        <w:t>L’équipe médicale compte actuellement 3 PH, 2 assistants, ainsi que 3 à 5 internes (psychiatrie, médecine du travail FST et faisant fonction d’interne)</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rPr>
          <w:rFonts w:ascii="Century Gothic" w:eastAsia="Times New Roman" w:hAnsi="Century Gothic" w:cs="Times New Roman"/>
          <w:b/>
          <w:bCs/>
          <w:color w:val="008080"/>
          <w:sz w:val="20"/>
          <w:szCs w:val="20"/>
          <w:lang w:eastAsia="fr-FR"/>
        </w:rPr>
      </w:pPr>
    </w:p>
    <w:p>
      <w:pPr>
        <w:spacing w:after="0"/>
        <w:jc w:val="both"/>
        <w:rPr>
          <w:rFonts w:cstheme="minorHAnsi"/>
          <w:sz w:val="24"/>
          <w:szCs w:val="24"/>
        </w:rPr>
      </w:pPr>
      <w:r>
        <w:rPr>
          <w:rFonts w:cstheme="minorHAnsi"/>
          <w:sz w:val="24"/>
          <w:szCs w:val="24"/>
        </w:rPr>
        <w:t xml:space="preserve">Participation aux activités cliniques, institutionnelles et d’enseignement du pôle. </w:t>
      </w:r>
    </w:p>
    <w:p>
      <w:pPr>
        <w:spacing w:after="0"/>
        <w:jc w:val="both"/>
        <w:rPr>
          <w:rFonts w:cstheme="minorHAnsi"/>
          <w:sz w:val="24"/>
          <w:szCs w:val="24"/>
        </w:rPr>
      </w:pPr>
      <w:r>
        <w:rPr>
          <w:rFonts w:cstheme="minorHAnsi"/>
          <w:sz w:val="24"/>
          <w:szCs w:val="24"/>
        </w:rPr>
        <w:t>Localisation sur le site Sainte Anne et antenne de la Prison de la Santé.</w:t>
      </w:r>
    </w:p>
    <w:p>
      <w:pPr>
        <w:spacing w:after="0"/>
        <w:jc w:val="both"/>
        <w:rPr>
          <w:rFonts w:cstheme="minorHAnsi"/>
          <w:sz w:val="24"/>
          <w:szCs w:val="24"/>
        </w:rPr>
      </w:pPr>
      <w:bookmarkStart w:id="0" w:name="_Hlk166679037"/>
      <w:r>
        <w:rPr>
          <w:rFonts w:cstheme="minorHAnsi"/>
          <w:sz w:val="24"/>
          <w:szCs w:val="24"/>
        </w:rPr>
        <w:t>Horaires de semaine et de jour, pas d’astreinte de nuit ou de week-end.</w:t>
      </w:r>
    </w:p>
    <w:bookmarkEnd w:id="0"/>
    <w:p>
      <w:pPr>
        <w:spacing w:after="0"/>
        <w:jc w:val="both"/>
        <w:rPr>
          <w:rFonts w:cstheme="minorHAnsi"/>
          <w:sz w:val="24"/>
          <w:szCs w:val="24"/>
        </w:rPr>
      </w:pPr>
      <w:r>
        <w:rPr>
          <w:rFonts w:cstheme="minorHAnsi"/>
          <w:sz w:val="24"/>
          <w:szCs w:val="24"/>
        </w:rPr>
        <w:t>Participation au tour de garde du CPOA (environ 1 garde par mois) avec repos compensateur.</w:t>
      </w:r>
    </w:p>
    <w:p>
      <w:pPr>
        <w:spacing w:after="0"/>
        <w:jc w:val="both"/>
        <w:rPr>
          <w:rFonts w:cstheme="minorHAnsi"/>
          <w:sz w:val="24"/>
          <w:szCs w:val="24"/>
        </w:rPr>
      </w:pPr>
      <w:r>
        <w:rPr>
          <w:rFonts w:cstheme="minorHAnsi"/>
          <w:sz w:val="24"/>
          <w:szCs w:val="24"/>
        </w:rPr>
        <w:t>Intégration progressive aux activités d’enseignement du service.</w:t>
      </w:r>
    </w:p>
    <w:p>
      <w:pPr>
        <w:spacing w:after="0"/>
        <w:jc w:val="both"/>
        <w:rPr>
          <w:rFonts w:cstheme="minorHAnsi"/>
          <w:sz w:val="24"/>
          <w:szCs w:val="24"/>
        </w:rPr>
      </w:pPr>
      <w:r>
        <w:rPr>
          <w:rFonts w:cstheme="minorHAnsi"/>
          <w:sz w:val="24"/>
          <w:szCs w:val="24"/>
        </w:rPr>
        <w:t>Encadrement des étudiants hospitaliers et stagiaires.</w:t>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 </w:t>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hAnsi="Century Gothic"/>
          <w:sz w:val="19"/>
          <w:szCs w:val="19"/>
        </w:rPr>
      </w:pPr>
    </w:p>
    <w:p>
      <w:pPr>
        <w:rPr>
          <w:rFonts w:cstheme="minorHAnsi"/>
          <w:sz w:val="24"/>
          <w:szCs w:val="24"/>
        </w:rPr>
      </w:pPr>
      <w:r>
        <w:rPr>
          <w:rFonts w:cstheme="minorHAnsi"/>
          <w:sz w:val="24"/>
          <w:szCs w:val="24"/>
        </w:rPr>
        <w:t xml:space="preserve">N’hésitez pas à prendre contact pour toute information supplémentaire sur le poste et pour candidature : Dr Florence Martinez (cheffe de service), Dr Chloé Lucet (Cheffe de pôle) : </w:t>
      </w:r>
      <w:hyperlink r:id="rId17" w:history="1">
        <w:r>
          <w:rPr>
            <w:rStyle w:val="Lienhypertexte"/>
            <w:rFonts w:cstheme="minorHAnsi"/>
            <w:sz w:val="24"/>
            <w:szCs w:val="24"/>
          </w:rPr>
          <w:t>florence.martinez@ghu-paris.fr</w:t>
        </w:r>
      </w:hyperlink>
    </w:p>
    <w:p>
      <w:pPr>
        <w:rPr>
          <w:rFonts w:cstheme="minorHAnsi"/>
          <w:sz w:val="24"/>
          <w:szCs w:val="24"/>
        </w:rPr>
      </w:pPr>
      <w:hyperlink r:id="rId18" w:history="1">
        <w:r>
          <w:rPr>
            <w:rStyle w:val="Lienhypertexte"/>
            <w:rFonts w:cstheme="minorHAnsi"/>
            <w:sz w:val="24"/>
            <w:szCs w:val="24"/>
          </w:rPr>
          <w:t>C.LUCET@ghu-paris.fr</w:t>
        </w:r>
      </w:hyperlink>
      <w:r>
        <w:rPr>
          <w:rFonts w:cstheme="minorHAnsi"/>
          <w:sz w:val="24"/>
          <w:szCs w:val="24"/>
        </w:rPr>
        <w:t xml:space="preserve"> </w:t>
      </w:r>
    </w:p>
    <w:p/>
    <w:sectPr>
      <w:footerReference w:type="default" r:id="rId19"/>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3189"/>
    <w:multiLevelType w:val="multilevel"/>
    <w:tmpl w:val="00D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2"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76676C"/>
    <w:multiLevelType w:val="hybridMultilevel"/>
    <w:tmpl w:val="ABD6DA00"/>
    <w:lvl w:ilvl="0" w:tplc="A69086E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F714F"/>
    <w:multiLevelType w:val="hybridMultilevel"/>
    <w:tmpl w:val="4A6C7E4C"/>
    <w:lvl w:ilvl="0" w:tplc="A69086E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2"/>
  </w:num>
  <w:num w:numId="4">
    <w:abstractNumId w:val="2"/>
  </w:num>
  <w:num w:numId="5">
    <w:abstractNumId w:val="1"/>
  </w:num>
  <w:num w:numId="6">
    <w:abstractNumId w:val="6"/>
  </w:num>
  <w:num w:numId="7">
    <w:abstractNumId w:val="14"/>
  </w:num>
  <w:num w:numId="8">
    <w:abstractNumId w:val="9"/>
  </w:num>
  <w:num w:numId="9">
    <w:abstractNumId w:val="20"/>
  </w:num>
  <w:num w:numId="10">
    <w:abstractNumId w:val="17"/>
  </w:num>
  <w:num w:numId="11">
    <w:abstractNumId w:val="4"/>
  </w:num>
  <w:num w:numId="12">
    <w:abstractNumId w:val="23"/>
  </w:num>
  <w:num w:numId="13">
    <w:abstractNumId w:val="21"/>
  </w:num>
  <w:num w:numId="14">
    <w:abstractNumId w:val="13"/>
  </w:num>
  <w:num w:numId="15">
    <w:abstractNumId w:val="5"/>
  </w:num>
  <w:num w:numId="16">
    <w:abstractNumId w:val="19"/>
  </w:num>
  <w:num w:numId="17">
    <w:abstractNumId w:val="11"/>
  </w:num>
  <w:num w:numId="18">
    <w:abstractNumId w:val="18"/>
  </w:num>
  <w:num w:numId="19">
    <w:abstractNumId w:val="0"/>
  </w:num>
  <w:num w:numId="20">
    <w:abstractNumId w:val="3"/>
  </w:num>
  <w:num w:numId="21">
    <w:abstractNumId w:val="12"/>
  </w:num>
  <w:num w:numId="22">
    <w:abstractNumId w:val="7"/>
  </w:num>
  <w:num w:numId="23">
    <w:abstractNumId w:val="15"/>
  </w:num>
  <w:num w:numId="24">
    <w:abstractNumId w:val="8"/>
  </w:num>
  <w:num w:numId="25">
    <w:abstractNumId w:val="10"/>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rPr>
      <w:rFonts w:ascii="Times New Roman" w:eastAsia="Times New Roman" w:hAnsi="Times New Roman" w:cs="Times New Roman"/>
      <w:b/>
      <w:bCs/>
      <w:sz w:val="20"/>
      <w:szCs w:val="20"/>
      <w:lang w:eastAsia="fr-FR"/>
    </w:rPr>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 w:id="1865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307689792" TargetMode="External"/><Relationship Id="rId18" Type="http://schemas.openxmlformats.org/officeDocument/2006/relationships/hyperlink" Target="mailto:C.LUCET@ghu-paris.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hu-paris.fr/fr/2019-ght-devient-ghu-paris/" TargetMode="External"/><Relationship Id="rId17" Type="http://schemas.openxmlformats.org/officeDocument/2006/relationships/hyperlink" Target="mailto:florence.martinez@ghu-paris.fr" TargetMode="External"/><Relationship Id="rId2" Type="http://schemas.openxmlformats.org/officeDocument/2006/relationships/customXml" Target="../customXml/item2.xml"/><Relationship Id="rId16" Type="http://schemas.openxmlformats.org/officeDocument/2006/relationships/hyperlink" Target="https://www.linkedin.com/company/ghu-par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hu-paris.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u-paris.fr/fr/le-ghu-paris-recrute-rejoignez-nous-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customXml/itemProps2.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B998D-787B-4ECB-BCCC-BFE9692EADD0}">
  <ds:schemaRefs>
    <ds:schemaRef ds:uri="http://schemas.openxmlformats.org/officeDocument/2006/bibliography"/>
  </ds:schemaRefs>
</ds:datastoreItem>
</file>

<file path=customXml/itemProps4.xml><?xml version="1.0" encoding="utf-8"?>
<ds:datastoreItem xmlns:ds="http://schemas.openxmlformats.org/officeDocument/2006/customXml" ds:itemID="{C9E7DADD-281A-41C5-AB70-7188AE9AC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REY Mathilde</cp:lastModifiedBy>
  <cp:revision>4</cp:revision>
  <cp:lastPrinted>2018-03-21T10:31:00Z</cp:lastPrinted>
  <dcterms:created xsi:type="dcterms:W3CDTF">2026-01-07T13:00:00Z</dcterms:created>
  <dcterms:modified xsi:type="dcterms:W3CDTF">2026-01-07T13:17:00Z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