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rPr>
          <w:rFonts w:ascii="Century Gothic" w:hAnsi="Century Gothic"/>
          <w:b/>
        </w:rPr>
      </w:pPr>
      <w:r>
        <w:rPr>
          <w:rFonts w:ascii="Century Gothic" w:hAnsi="Century Gothic"/>
          <w:b/>
          <w:noProof/>
          <w:lang w:eastAsia="fr-FR"/>
        </w:rPr>
        <w:drawing>
          <wp:anchor distT="0" distB="0" distL="114300" distR="114300" simplePos="0" relativeHeight="251658240" behindDoc="0" locked="0" layoutInCell="1" allowOverlap="1">
            <wp:simplePos x="0" y="0"/>
            <wp:positionH relativeFrom="margin">
              <wp:posOffset>4129405</wp:posOffset>
            </wp:positionH>
            <wp:positionV relativeFrom="paragraph">
              <wp:posOffset>0</wp:posOffset>
            </wp:positionV>
            <wp:extent cx="1914525" cy="525145"/>
            <wp:effectExtent l="0" t="0" r="952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hu-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525145"/>
                    </a:xfrm>
                    <a:prstGeom prst="rect">
                      <a:avLst/>
                    </a:prstGeom>
                  </pic:spPr>
                </pic:pic>
              </a:graphicData>
            </a:graphic>
            <wp14:sizeRelH relativeFrom="margin">
              <wp14:pctWidth>0</wp14:pctWidth>
            </wp14:sizeRelH>
            <wp14:sizeRelV relativeFrom="margin">
              <wp14:pctHeight>0</wp14:pctHeight>
            </wp14:sizeRelV>
          </wp:anchor>
        </w:drawing>
      </w:r>
    </w:p>
    <w:p>
      <w:pPr>
        <w:spacing w:after="0" w:line="240" w:lineRule="auto"/>
        <w:rPr>
          <w:rFonts w:ascii="Century Gothic" w:hAnsi="Century Gothic"/>
          <w:b/>
        </w:rPr>
      </w:pPr>
    </w:p>
    <w:p>
      <w:pPr>
        <w:spacing w:after="0" w:line="240" w:lineRule="auto"/>
        <w:rPr>
          <w:rFonts w:ascii="Century Gothic" w:hAnsi="Century Gothic"/>
          <w:b/>
        </w:rPr>
      </w:pPr>
    </w:p>
    <w:p>
      <w:pPr>
        <w:spacing w:after="0" w:line="240" w:lineRule="auto"/>
        <w:rPr>
          <w:rFonts w:ascii="Century Gothic" w:hAnsi="Century Gothic"/>
          <w:b/>
          <w:sz w:val="18"/>
          <w:szCs w:val="18"/>
        </w:rPr>
      </w:pPr>
    </w:p>
    <w:p>
      <w:pPr>
        <w:spacing w:after="0" w:line="240" w:lineRule="auto"/>
        <w:jc w:val="center"/>
        <w:rPr>
          <w:rFonts w:ascii="Century Gothic" w:hAnsi="Century Gothic"/>
          <w:b/>
          <w:color w:val="008080"/>
          <w:sz w:val="28"/>
          <w:szCs w:val="28"/>
        </w:rPr>
      </w:pPr>
      <w:r>
        <w:rPr>
          <w:rFonts w:ascii="Century Gothic" w:hAnsi="Century Gothic"/>
          <w:b/>
          <w:color w:val="008080"/>
          <w:sz w:val="28"/>
          <w:szCs w:val="28"/>
        </w:rPr>
        <w:t>Praticien Hospitalier en psychiatrie périnatale</w:t>
      </w:r>
    </w:p>
    <w:p>
      <w:pPr>
        <w:spacing w:after="0" w:line="240" w:lineRule="auto"/>
        <w:jc w:val="center"/>
        <w:rPr>
          <w:rFonts w:ascii="Century Gothic" w:hAnsi="Century Gothic"/>
          <w:b/>
        </w:rPr>
      </w:pPr>
    </w:p>
    <w:tbl>
      <w:tblPr>
        <w:tblStyle w:val="Grilledutableau"/>
        <w:tblW w:w="0" w:type="auto"/>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trPr>
          <w:trHeight w:val="420"/>
        </w:trPr>
        <w:tc>
          <w:tcPr>
            <w:tcW w:w="3256" w:type="dxa"/>
            <w:vAlign w:val="center"/>
          </w:tcPr>
          <w:p>
            <w:pPr>
              <w:rPr>
                <w:rFonts w:ascii="Century Gothic" w:hAnsi="Century Gothic"/>
                <w:b/>
              </w:rPr>
            </w:pPr>
            <w:r>
              <w:rPr>
                <w:rFonts w:ascii="Century Gothic" w:hAnsi="Century Gothic"/>
                <w:b/>
              </w:rPr>
              <w:t>Temps de travail</w:t>
            </w:r>
          </w:p>
        </w:tc>
        <w:tc>
          <w:tcPr>
            <w:tcW w:w="5806" w:type="dxa"/>
            <w:vAlign w:val="center"/>
          </w:tcPr>
          <w:p>
            <w:pPr>
              <w:rPr>
                <w:rFonts w:ascii="Century Gothic" w:hAnsi="Century Gothic"/>
                <w:b/>
              </w:rPr>
            </w:pPr>
            <w:r>
              <w:rPr>
                <w:rFonts w:ascii="Century Gothic" w:hAnsi="Century Gothic"/>
                <w:b/>
              </w:rPr>
              <w:t>Temps plein (possibilité temps partiel)</w:t>
            </w:r>
          </w:p>
        </w:tc>
      </w:tr>
      <w:tr>
        <w:trPr>
          <w:trHeight w:val="420"/>
        </w:trPr>
        <w:tc>
          <w:tcPr>
            <w:tcW w:w="3256" w:type="dxa"/>
            <w:vAlign w:val="center"/>
          </w:tcPr>
          <w:p>
            <w:pPr>
              <w:rPr>
                <w:rFonts w:ascii="Century Gothic" w:hAnsi="Century Gothic"/>
                <w:b/>
              </w:rPr>
            </w:pPr>
            <w:r>
              <w:rPr>
                <w:rFonts w:ascii="Century Gothic" w:hAnsi="Century Gothic"/>
                <w:b/>
              </w:rPr>
              <w:t>Statut</w:t>
            </w:r>
          </w:p>
        </w:tc>
        <w:tc>
          <w:tcPr>
            <w:tcW w:w="5806" w:type="dxa"/>
            <w:vAlign w:val="center"/>
          </w:tcPr>
          <w:p>
            <w:pPr>
              <w:rPr>
                <w:rFonts w:ascii="Century Gothic" w:hAnsi="Century Gothic"/>
                <w:b/>
              </w:rPr>
            </w:pPr>
            <w:r>
              <w:rPr>
                <w:rFonts w:ascii="Century Gothic" w:hAnsi="Century Gothic"/>
                <w:b/>
              </w:rPr>
              <w:t>Personnel médical</w:t>
            </w:r>
          </w:p>
        </w:tc>
      </w:tr>
      <w:tr>
        <w:trPr>
          <w:trHeight w:val="420"/>
        </w:trPr>
        <w:tc>
          <w:tcPr>
            <w:tcW w:w="3256" w:type="dxa"/>
            <w:vAlign w:val="center"/>
          </w:tcPr>
          <w:p>
            <w:pPr>
              <w:rPr>
                <w:rFonts w:ascii="Century Gothic" w:hAnsi="Century Gothic"/>
                <w:b/>
              </w:rPr>
            </w:pPr>
            <w:r>
              <w:rPr>
                <w:rFonts w:ascii="Century Gothic" w:hAnsi="Century Gothic"/>
                <w:b/>
              </w:rPr>
              <w:t>Grade</w:t>
            </w:r>
          </w:p>
        </w:tc>
        <w:tc>
          <w:tcPr>
            <w:tcW w:w="5806" w:type="dxa"/>
            <w:vAlign w:val="center"/>
          </w:tcPr>
          <w:p>
            <w:pPr>
              <w:rPr>
                <w:rFonts w:ascii="Century Gothic" w:hAnsi="Century Gothic"/>
                <w:b/>
              </w:rPr>
            </w:pPr>
            <w:r>
              <w:rPr>
                <w:rFonts w:ascii="Century Gothic" w:hAnsi="Century Gothic"/>
                <w:b/>
              </w:rPr>
              <w:t>Praticien Hospitalier</w:t>
            </w:r>
          </w:p>
        </w:tc>
      </w:tr>
      <w:tr>
        <w:trPr>
          <w:trHeight w:val="420"/>
        </w:trPr>
        <w:tc>
          <w:tcPr>
            <w:tcW w:w="3256" w:type="dxa"/>
            <w:vAlign w:val="center"/>
          </w:tcPr>
          <w:p>
            <w:pPr>
              <w:rPr>
                <w:rFonts w:ascii="Century Gothic" w:hAnsi="Century Gothic"/>
                <w:b/>
              </w:rPr>
            </w:pPr>
            <w:r>
              <w:rPr>
                <w:rFonts w:ascii="Century Gothic" w:hAnsi="Century Gothic"/>
                <w:b/>
              </w:rPr>
              <w:t>Intitulé du poste</w:t>
            </w:r>
          </w:p>
        </w:tc>
        <w:tc>
          <w:tcPr>
            <w:tcW w:w="5806" w:type="dxa"/>
            <w:vAlign w:val="center"/>
          </w:tcPr>
          <w:p>
            <w:pPr>
              <w:rPr>
                <w:rFonts w:ascii="Century Gothic" w:hAnsi="Century Gothic"/>
              </w:rPr>
            </w:pPr>
            <w:r>
              <w:rPr>
                <w:rFonts w:ascii="Century Gothic" w:hAnsi="Century Gothic"/>
                <w:b/>
              </w:rPr>
              <w:t>Praticien Hospitalier en psychiatrie périnatale</w:t>
            </w:r>
          </w:p>
        </w:tc>
      </w:tr>
      <w:tr>
        <w:trPr>
          <w:trHeight w:val="420"/>
        </w:trPr>
        <w:tc>
          <w:tcPr>
            <w:tcW w:w="3256" w:type="dxa"/>
            <w:vAlign w:val="center"/>
          </w:tcPr>
          <w:p>
            <w:pPr>
              <w:rPr>
                <w:rFonts w:ascii="Century Gothic" w:hAnsi="Century Gothic"/>
                <w:b/>
              </w:rPr>
            </w:pPr>
            <w:r>
              <w:rPr>
                <w:rFonts w:ascii="Century Gothic" w:hAnsi="Century Gothic"/>
                <w:b/>
              </w:rPr>
              <w:t>Lieux de travail</w:t>
            </w:r>
          </w:p>
        </w:tc>
        <w:tc>
          <w:tcPr>
            <w:tcW w:w="5806" w:type="dxa"/>
            <w:vAlign w:val="center"/>
          </w:tcPr>
          <w:p>
            <w:pPr>
              <w:jc w:val="both"/>
              <w:rPr>
                <w:rFonts w:ascii="Century Gothic" w:hAnsi="Century Gothic"/>
                <w:b/>
                <w:bCs/>
              </w:rPr>
            </w:pPr>
            <w:r>
              <w:rPr>
                <w:rFonts w:ascii="Century Gothic" w:hAnsi="Century Gothic"/>
                <w:b/>
                <w:bCs/>
              </w:rPr>
              <w:t>Institut Paris Brune</w:t>
            </w:r>
          </w:p>
          <w:p>
            <w:pPr>
              <w:spacing w:after="120"/>
              <w:jc w:val="both"/>
              <w:rPr>
                <w:rFonts w:ascii="Century Gothic" w:hAnsi="Century Gothic"/>
              </w:rPr>
            </w:pPr>
            <w:r>
              <w:rPr>
                <w:rFonts w:ascii="Century Gothic" w:hAnsi="Century Gothic"/>
              </w:rPr>
              <w:t>26, boulevard Brune, 75014 Paris</w:t>
            </w:r>
          </w:p>
          <w:p>
            <w:pPr>
              <w:jc w:val="both"/>
              <w:rPr>
                <w:rFonts w:ascii="Century Gothic" w:hAnsi="Century Gothic"/>
              </w:rPr>
            </w:pPr>
            <w:r>
              <w:rPr>
                <w:rFonts w:ascii="Century Gothic" w:hAnsi="Century Gothic"/>
              </w:rPr>
              <w:t>Proximité de nombreux transports :</w:t>
            </w:r>
          </w:p>
          <w:p>
            <w:pPr>
              <w:jc w:val="both"/>
              <w:rPr>
                <w:rFonts w:ascii="Century Gothic" w:hAnsi="Century Gothic"/>
              </w:rPr>
            </w:pPr>
            <w:r>
              <w:rPr>
                <w:rFonts w:ascii="Century Gothic" w:hAnsi="Century Gothic"/>
              </w:rPr>
              <w:t>• Métro ligne 13, station Porte de Vanves</w:t>
            </w:r>
          </w:p>
          <w:p>
            <w:pPr>
              <w:jc w:val="both"/>
              <w:rPr>
                <w:rFonts w:ascii="Century Gothic" w:hAnsi="Century Gothic"/>
              </w:rPr>
            </w:pPr>
            <w:r>
              <w:rPr>
                <w:rFonts w:ascii="Century Gothic" w:hAnsi="Century Gothic"/>
              </w:rPr>
              <w:t>• Bus n°58, 95, 191</w:t>
            </w:r>
          </w:p>
          <w:p>
            <w:pPr>
              <w:jc w:val="both"/>
              <w:rPr>
                <w:rFonts w:ascii="Century Gothic" w:hAnsi="Century Gothic"/>
                <w:b/>
              </w:rPr>
            </w:pPr>
            <w:r>
              <w:rPr>
                <w:rFonts w:ascii="Century Gothic" w:hAnsi="Century Gothic"/>
              </w:rPr>
              <w:t>• Tramway T3a, station Porte de Vanves</w:t>
            </w:r>
          </w:p>
        </w:tc>
      </w:tr>
      <w:tr>
        <w:trPr>
          <w:trHeight w:val="420"/>
        </w:trPr>
        <w:tc>
          <w:tcPr>
            <w:tcW w:w="3256" w:type="dxa"/>
            <w:vAlign w:val="center"/>
          </w:tcPr>
          <w:p>
            <w:pPr>
              <w:rPr>
                <w:rFonts w:ascii="Century Gothic" w:hAnsi="Century Gothic"/>
                <w:b/>
              </w:rPr>
            </w:pPr>
            <w:r>
              <w:rPr>
                <w:rFonts w:ascii="Century Gothic" w:hAnsi="Century Gothic"/>
                <w:b/>
              </w:rPr>
              <w:t>Organisation du travail</w:t>
            </w:r>
          </w:p>
        </w:tc>
        <w:tc>
          <w:tcPr>
            <w:tcW w:w="5806" w:type="dxa"/>
            <w:vAlign w:val="center"/>
          </w:tcPr>
          <w:p>
            <w:pPr>
              <w:rPr>
                <w:rFonts w:ascii="Century Gothic" w:hAnsi="Century Gothic"/>
              </w:rPr>
            </w:pPr>
            <w:r>
              <w:rPr>
                <w:rFonts w:ascii="Century Gothic" w:hAnsi="Century Gothic"/>
              </w:rPr>
              <w:t>10 demi-journées par semaine</w:t>
            </w:r>
          </w:p>
          <w:p>
            <w:pPr>
              <w:rPr>
                <w:rFonts w:ascii="Century Gothic" w:hAnsi="Century Gothic"/>
              </w:rPr>
            </w:pPr>
            <w:r>
              <w:rPr>
                <w:rFonts w:ascii="Century Gothic" w:hAnsi="Century Gothic"/>
              </w:rPr>
              <w:t>Aucune garde n’est exigée</w:t>
            </w:r>
          </w:p>
        </w:tc>
      </w:tr>
      <w:tr>
        <w:trPr>
          <w:trHeight w:val="420"/>
        </w:trPr>
        <w:tc>
          <w:tcPr>
            <w:tcW w:w="3256" w:type="dxa"/>
            <w:vAlign w:val="center"/>
          </w:tcPr>
          <w:p>
            <w:pPr>
              <w:rPr>
                <w:rFonts w:ascii="Century Gothic" w:hAnsi="Century Gothic"/>
                <w:b/>
              </w:rPr>
            </w:pPr>
            <w:r>
              <w:rPr>
                <w:rFonts w:ascii="Century Gothic" w:hAnsi="Century Gothic"/>
                <w:b/>
              </w:rPr>
              <w:t>Horaires</w:t>
            </w:r>
          </w:p>
        </w:tc>
        <w:tc>
          <w:tcPr>
            <w:tcW w:w="5806" w:type="dxa"/>
            <w:vAlign w:val="center"/>
          </w:tcPr>
          <w:p>
            <w:pPr>
              <w:rPr>
                <w:rFonts w:ascii="Century Gothic" w:hAnsi="Century Gothic"/>
              </w:rPr>
            </w:pPr>
            <w:r>
              <w:rPr>
                <w:rFonts w:ascii="Century Gothic" w:hAnsi="Century Gothic"/>
              </w:rPr>
              <w:t>Horaires médicaux en journée</w:t>
            </w:r>
          </w:p>
        </w:tc>
      </w:tr>
      <w:tr>
        <w:trPr>
          <w:trHeight w:val="420"/>
        </w:trPr>
        <w:tc>
          <w:tcPr>
            <w:tcW w:w="3256" w:type="dxa"/>
            <w:vAlign w:val="center"/>
          </w:tcPr>
          <w:p>
            <w:pPr>
              <w:rPr>
                <w:rFonts w:ascii="Century Gothic" w:hAnsi="Century Gothic"/>
                <w:b/>
              </w:rPr>
            </w:pPr>
            <w:r>
              <w:rPr>
                <w:rFonts w:ascii="Century Gothic" w:hAnsi="Century Gothic"/>
                <w:b/>
              </w:rPr>
              <w:t xml:space="preserve">Poste à pourvoir </w:t>
            </w:r>
          </w:p>
        </w:tc>
        <w:tc>
          <w:tcPr>
            <w:tcW w:w="5806" w:type="dxa"/>
            <w:vAlign w:val="center"/>
          </w:tcPr>
          <w:p>
            <w:pPr>
              <w:rPr>
                <w:rFonts w:ascii="Century Gothic" w:hAnsi="Century Gothic"/>
              </w:rPr>
            </w:pPr>
            <w:r>
              <w:rPr>
                <w:rFonts w:ascii="Century Gothic" w:hAnsi="Century Gothic"/>
              </w:rPr>
              <w:t>A compter du 1</w:t>
            </w:r>
            <w:r>
              <w:rPr>
                <w:rFonts w:ascii="Century Gothic" w:hAnsi="Century Gothic"/>
                <w:vertAlign w:val="superscript"/>
              </w:rPr>
              <w:t>er</w:t>
            </w:r>
            <w:r>
              <w:rPr>
                <w:rFonts w:ascii="Century Gothic" w:hAnsi="Century Gothic"/>
              </w:rPr>
              <w:t xml:space="preserve"> septembre 2025</w:t>
            </w:r>
          </w:p>
        </w:tc>
      </w:tr>
      <w:tr>
        <w:trPr>
          <w:trHeight w:val="420"/>
        </w:trPr>
        <w:tc>
          <w:tcPr>
            <w:tcW w:w="3256" w:type="dxa"/>
            <w:vAlign w:val="center"/>
          </w:tcPr>
          <w:p>
            <w:pPr>
              <w:rPr>
                <w:rFonts w:ascii="Century Gothic" w:hAnsi="Century Gothic"/>
                <w:b/>
              </w:rPr>
            </w:pPr>
            <w:r>
              <w:rPr>
                <w:rFonts w:ascii="Century Gothic" w:hAnsi="Century Gothic"/>
                <w:b/>
              </w:rPr>
              <w:t>Candidatures à adresser</w:t>
            </w:r>
          </w:p>
        </w:tc>
        <w:tc>
          <w:tcPr>
            <w:tcW w:w="5806" w:type="dxa"/>
            <w:vAlign w:val="center"/>
          </w:tcPr>
          <w:p>
            <w:pPr>
              <w:rPr>
                <w:rFonts w:ascii="Century Gothic" w:hAnsi="Century Gothic"/>
              </w:rPr>
            </w:pPr>
            <w:r>
              <w:rPr>
                <w:rFonts w:ascii="Century Gothic" w:hAnsi="Century Gothic"/>
              </w:rPr>
              <w:t xml:space="preserve">Dr Romain DUGRAVIER, chef de service </w:t>
            </w:r>
          </w:p>
          <w:p>
            <w:pPr>
              <w:rPr>
                <w:rFonts w:ascii="Century Gothic" w:hAnsi="Century Gothic"/>
              </w:rPr>
            </w:pPr>
            <w:hyperlink r:id="rId9" w:history="1">
              <w:r>
                <w:rPr>
                  <w:rStyle w:val="Lienhypertexte"/>
                  <w:rFonts w:ascii="Century Gothic" w:hAnsi="Century Gothic"/>
                </w:rPr>
                <w:t>R.DUGRAVIER@ghu-paris.fr</w:t>
              </w:r>
            </w:hyperlink>
          </w:p>
        </w:tc>
      </w:tr>
    </w:tbl>
    <w:p>
      <w:pPr>
        <w:spacing w:after="0" w:line="240" w:lineRule="auto"/>
        <w:rPr>
          <w:rFonts w:ascii="Century Gothic" w:hAnsi="Century Gothic"/>
          <w:b/>
        </w:rPr>
      </w:pPr>
    </w:p>
    <w:p>
      <w:pPr>
        <w:spacing w:after="0" w:line="240" w:lineRule="auto"/>
        <w:rPr>
          <w:rFonts w:ascii="Century Gothic" w:eastAsia="Times New Roman" w:hAnsi="Century Gothic" w:cs="Times New Roman"/>
          <w:b/>
          <w:bCs/>
          <w:color w:val="008080"/>
          <w:lang w:eastAsia="fr-FR"/>
        </w:rPr>
      </w:pPr>
      <w:r>
        <w:rPr>
          <w:rFonts w:ascii="Century Gothic" w:eastAsia="Times New Roman" w:hAnsi="Century Gothic" w:cs="Times New Roman"/>
          <w:b/>
          <w:bCs/>
          <w:color w:val="008080"/>
          <w:lang w:eastAsia="fr-FR"/>
        </w:rPr>
        <w:t>VOUS SOUHAITEZ REJOINDRE UN ACTEUR HOSPITALIER MAJEUR DANS LA PRISE EN CHARGE EN PSYCHIATRIE ET NEUROSCIENCES ?</w:t>
      </w:r>
    </w:p>
    <w:p>
      <w:pPr>
        <w:spacing w:after="0" w:line="240" w:lineRule="auto"/>
        <w:rPr>
          <w:rFonts w:ascii="Century Gothic" w:eastAsia="Times New Roman" w:hAnsi="Century Gothic" w:cs="Times New Roman"/>
          <w:b/>
          <w:bCs/>
          <w:color w:val="008080"/>
          <w:lang w:eastAsia="fr-FR"/>
        </w:rPr>
      </w:pPr>
    </w:p>
    <w:p>
      <w:pPr>
        <w:spacing w:after="120" w:line="240" w:lineRule="auto"/>
        <w:jc w:val="both"/>
        <w:rPr>
          <w:rFonts w:ascii="Century Gothic" w:hAnsi="Century Gothic"/>
          <w:color w:val="555E5E"/>
        </w:rPr>
      </w:pPr>
      <w:r>
        <w:rPr>
          <w:rFonts w:ascii="Century Gothic" w:hAnsi="Century Gothic"/>
          <w:color w:val="555E5E"/>
        </w:rPr>
        <w:t xml:space="preserve">Le </w:t>
      </w:r>
      <w:hyperlink r:id="rId10" w:history="1">
        <w:r>
          <w:rPr>
            <w:rStyle w:val="Lienhypertexte"/>
            <w:rFonts w:ascii="Century Gothic" w:hAnsi="Century Gothic"/>
            <w:color w:val="555E5E"/>
          </w:rPr>
          <w:t>Groupe Hospitalier Universitaire Paris psychiatrie &amp; neurosciences</w:t>
        </w:r>
      </w:hyperlink>
      <w:r>
        <w:rPr>
          <w:rFonts w:ascii="Century Gothic" w:hAnsi="Century Gothic"/>
          <w:color w:val="555E5E"/>
        </w:rPr>
        <w:t xml:space="preserve"> est né le 1</w:t>
      </w:r>
      <w:r>
        <w:rPr>
          <w:rFonts w:ascii="Century Gothic" w:hAnsi="Century Gothic"/>
          <w:color w:val="555E5E"/>
          <w:vertAlign w:val="superscript"/>
        </w:rPr>
        <w:t>er</w:t>
      </w:r>
      <w:r>
        <w:rPr>
          <w:rFonts w:ascii="Century Gothic" w:hAnsi="Century Gothic"/>
          <w:color w:val="555E5E"/>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pPr>
        <w:spacing w:after="0" w:line="240" w:lineRule="auto"/>
        <w:jc w:val="both"/>
        <w:rPr>
          <w:rFonts w:ascii="Century Gothic" w:hAnsi="Century Gothic"/>
          <w:color w:val="555E5E"/>
        </w:rPr>
      </w:pPr>
      <w:r>
        <w:rPr>
          <w:rFonts w:ascii="Century Gothic" w:hAnsi="Century Gothic"/>
          <w:color w:val="555E5E"/>
        </w:rPr>
        <w:t>Le GHU Paris assure la prise en charge de proximité, de recours et de spécialité des Parisiens dans toutes les disciplines associées à la santé mentale et au cerveau au sein de 170 structures réparties dans la capitale.</w:t>
      </w:r>
    </w:p>
    <w:p>
      <w:pPr>
        <w:spacing w:after="0" w:line="240" w:lineRule="auto"/>
        <w:jc w:val="both"/>
        <w:rPr>
          <w:rFonts w:ascii="Century Gothic" w:hAnsi="Century Gothic"/>
          <w:color w:val="555E5E"/>
        </w:rPr>
      </w:pPr>
    </w:p>
    <w:p>
      <w:pPr>
        <w:spacing w:after="0" w:line="240" w:lineRule="auto"/>
        <w:jc w:val="both"/>
        <w:rPr>
          <w:rStyle w:val="Lienhypertexte"/>
          <w:rFonts w:ascii="Century Gothic" w:hAnsi="Century Gothic"/>
          <w:color w:val="555E5E"/>
          <w:u w:val="none"/>
        </w:rPr>
      </w:pPr>
      <w:hyperlink r:id="rId11" w:history="1">
        <w:r>
          <w:rPr>
            <w:rStyle w:val="Lienhypertexte"/>
            <w:rFonts w:ascii="Century Gothic" w:hAnsi="Century Gothic"/>
          </w:rPr>
          <w:t>2 ‘ chrono pour connaître le GHU Paris en images animées </w:t>
        </w:r>
      </w:hyperlink>
    </w:p>
    <w:p>
      <w:pPr>
        <w:spacing w:after="120" w:line="240" w:lineRule="auto"/>
        <w:jc w:val="both"/>
        <w:rPr>
          <w:rStyle w:val="Lienhypertexte"/>
          <w:rFonts w:ascii="Century Gothic" w:hAnsi="Century Gothic"/>
          <w:color w:val="555E5E"/>
          <w:lang w:val="en-US"/>
        </w:rPr>
      </w:pPr>
      <w:hyperlink r:id="rId12" w:history="1">
        <w:r>
          <w:rPr>
            <w:rStyle w:val="Lienhypertexte"/>
            <w:rFonts w:ascii="Century Gothic" w:hAnsi="Century Gothic"/>
            <w:lang w:val="en-US"/>
          </w:rPr>
          <w:t>www.ghu-paris.fr</w:t>
        </w:r>
      </w:hyperlink>
      <w:r>
        <w:rPr>
          <w:rStyle w:val="Lienhypertexte"/>
          <w:rFonts w:ascii="Century Gothic" w:hAnsi="Century Gothic"/>
          <w:color w:val="555E5E"/>
          <w:lang w:val="en-US"/>
        </w:rPr>
        <w:t xml:space="preserve"> / </w:t>
      </w:r>
      <w:proofErr w:type="spellStart"/>
      <w:r>
        <w:rPr>
          <w:rStyle w:val="Lienhypertexte"/>
          <w:rFonts w:ascii="Century Gothic" w:hAnsi="Century Gothic"/>
          <w:color w:val="555E5E"/>
          <w:lang w:val="en-US"/>
        </w:rPr>
        <w:t>Linkedn</w:t>
      </w:r>
      <w:proofErr w:type="spellEnd"/>
      <w:r>
        <w:rPr>
          <w:rStyle w:val="Lienhypertexte"/>
          <w:rFonts w:ascii="Century Gothic" w:hAnsi="Century Gothic"/>
          <w:color w:val="555E5E"/>
          <w:lang w:val="en-US"/>
        </w:rPr>
        <w:t xml:space="preserve"> </w:t>
      </w:r>
      <w:hyperlink r:id="rId13" w:history="1">
        <w:proofErr w:type="spellStart"/>
        <w:r>
          <w:rPr>
            <w:rStyle w:val="Lienhypertexte"/>
            <w:rFonts w:ascii="Century Gothic" w:hAnsi="Century Gothic"/>
            <w:lang w:val="en-US"/>
          </w:rPr>
          <w:t>Ghu</w:t>
        </w:r>
        <w:proofErr w:type="spellEnd"/>
        <w:r>
          <w:rPr>
            <w:rStyle w:val="Lienhypertexte"/>
            <w:rFonts w:ascii="Century Gothic" w:hAnsi="Century Gothic"/>
            <w:lang w:val="en-US"/>
          </w:rPr>
          <w:t xml:space="preserve"> Paris</w:t>
        </w:r>
      </w:hyperlink>
    </w:p>
    <w:p>
      <w:pPr>
        <w:spacing w:after="0" w:line="240" w:lineRule="auto"/>
        <w:jc w:val="both"/>
        <w:rPr>
          <w:rFonts w:ascii="Century Gothic" w:hAnsi="Century Gothic"/>
          <w:color w:val="555E5E"/>
        </w:rPr>
      </w:pPr>
      <w:r>
        <w:rPr>
          <w:rFonts w:ascii="Century Gothic" w:hAnsi="Century Gothic"/>
          <w:b/>
          <w:color w:val="555E5E"/>
        </w:rPr>
        <w:t>Siège</w:t>
      </w:r>
      <w:r>
        <w:rPr>
          <w:rFonts w:ascii="Century Gothic" w:hAnsi="Century Gothic"/>
          <w:color w:val="555E5E"/>
        </w:rPr>
        <w:t> : Site Sainte-Anne, 1 rue Cabanis 75014 Paris</w:t>
      </w:r>
      <w:r>
        <w:rPr>
          <w:rFonts w:ascii="Century Gothic" w:hAnsi="Century Gothic"/>
          <w:color w:val="555E5E"/>
        </w:rPr>
        <w:br w:type="page"/>
      </w:r>
    </w:p>
    <w:p>
      <w:pPr>
        <w:spacing w:after="200" w:line="240" w:lineRule="auto"/>
        <w:rPr>
          <w:rFonts w:ascii="Century Gothic" w:eastAsia="Times New Roman" w:hAnsi="Century Gothic" w:cs="Times New Roman"/>
          <w:b/>
          <w:bCs/>
          <w:color w:val="008080"/>
          <w:lang w:eastAsia="fr-FR"/>
        </w:rPr>
      </w:pPr>
      <w:r>
        <w:rPr>
          <w:rFonts w:ascii="Century Gothic" w:eastAsia="Times New Roman" w:hAnsi="Century Gothic" w:cs="Times New Roman"/>
          <w:b/>
          <w:bCs/>
          <w:color w:val="008080"/>
          <w:lang w:eastAsia="fr-FR"/>
        </w:rPr>
        <w:lastRenderedPageBreak/>
        <w:t>DESCRIPTION DU SERVICE</w:t>
      </w:r>
    </w:p>
    <w:p>
      <w:pPr>
        <w:spacing w:after="0" w:line="240" w:lineRule="auto"/>
        <w:jc w:val="both"/>
        <w:rPr>
          <w:rFonts w:ascii="Century Gothic" w:hAnsi="Century Gothic"/>
        </w:rPr>
      </w:pPr>
      <w:r>
        <w:rPr>
          <w:rFonts w:ascii="Century Gothic" w:hAnsi="Century Gothic"/>
        </w:rPr>
        <w:t xml:space="preserve">Le Centre de psychopathologie Périnatale Boulevard Brune (CPBB) est un service de psychiatrie périnatale appartenant au GHU Paris Psychiatrie &amp; Neurosciences. </w:t>
      </w:r>
    </w:p>
    <w:p>
      <w:pPr>
        <w:spacing w:after="120" w:line="240" w:lineRule="auto"/>
        <w:jc w:val="both"/>
        <w:rPr>
          <w:rFonts w:ascii="Century Gothic" w:hAnsi="Century Gothic"/>
        </w:rPr>
      </w:pPr>
      <w:r>
        <w:rPr>
          <w:rFonts w:ascii="Century Gothic" w:hAnsi="Century Gothic"/>
        </w:rPr>
        <w:t xml:space="preserve">Il est dédié à la prise en charge des bébés (jusqu’à 3 ans) et de leurs parents domiciliés sur le territoire sud parisien dans une logique de prévention et de soin des troubles précoces des interactions parent-enfant, des troubles du développement de l’enfant et de soutien des parents. </w:t>
      </w:r>
    </w:p>
    <w:p>
      <w:pPr>
        <w:spacing w:after="120" w:line="240" w:lineRule="auto"/>
        <w:jc w:val="both"/>
        <w:rPr>
          <w:rFonts w:ascii="Century Gothic" w:hAnsi="Century Gothic"/>
        </w:rPr>
      </w:pPr>
      <w:r>
        <w:rPr>
          <w:rFonts w:ascii="Century Gothic" w:hAnsi="Century Gothic"/>
        </w:rPr>
        <w:t>Il s’inscrit dans la continuité du service de guidance infantile de l’Institut de Puériculture de Paris ouvert en 1953 par le Professeur Michel Soulé qui avait à cœur de développer clinique, recherche et enseignement dans le domaine de la psychiatrie périnatale.</w:t>
      </w:r>
    </w:p>
    <w:p>
      <w:pPr>
        <w:spacing w:after="120" w:line="240" w:lineRule="auto"/>
        <w:jc w:val="both"/>
        <w:rPr>
          <w:rFonts w:ascii="Century Gothic" w:hAnsi="Century Gothic"/>
        </w:rPr>
      </w:pPr>
      <w:r>
        <w:rPr>
          <w:rFonts w:ascii="Century Gothic" w:hAnsi="Century Gothic"/>
        </w:rPr>
        <w:t>Diverses références théoriques constituent le socle de la pratique du service. La psychanalyse, la théorie de l’attachement et ses évolutions, l’approche sensori-motrice développée par André Bullinger constituent les bases du travail clinique.</w:t>
      </w:r>
    </w:p>
    <w:p>
      <w:pPr>
        <w:spacing w:after="0" w:line="240" w:lineRule="auto"/>
        <w:jc w:val="both"/>
        <w:rPr>
          <w:rFonts w:ascii="Century Gothic" w:hAnsi="Century Gothic"/>
        </w:rPr>
      </w:pPr>
      <w:r>
        <w:rPr>
          <w:rFonts w:ascii="Century Gothic" w:hAnsi="Century Gothic"/>
        </w:rPr>
        <w:t xml:space="preserve">L’équipe pluridisciplinaire associe pédopsychiatres (6 PH, 2 assistants, 2 internes, 2 externes), psychologues, psychomotriciennes, infirmières et puéricultrices, sage-femme, assistantes sociales, ASH, secrétaires. </w:t>
      </w:r>
    </w:p>
    <w:p>
      <w:pPr>
        <w:spacing w:after="0" w:line="240" w:lineRule="auto"/>
        <w:jc w:val="both"/>
        <w:rPr>
          <w:rFonts w:ascii="Century Gothic" w:hAnsi="Century Gothic"/>
        </w:rPr>
      </w:pPr>
    </w:p>
    <w:p>
      <w:pPr>
        <w:spacing w:after="200" w:line="240" w:lineRule="auto"/>
        <w:jc w:val="both"/>
        <w:rPr>
          <w:rFonts w:ascii="Century Gothic" w:hAnsi="Century Gothic"/>
          <w:b/>
          <w:color w:val="008080"/>
        </w:rPr>
      </w:pPr>
      <w:r>
        <w:rPr>
          <w:rFonts w:ascii="Century Gothic" w:hAnsi="Century Gothic"/>
          <w:b/>
          <w:color w:val="008080"/>
        </w:rPr>
        <w:t>Activités du service</w:t>
      </w:r>
    </w:p>
    <w:p>
      <w:pPr>
        <w:pStyle w:val="Paragraphedeliste"/>
        <w:numPr>
          <w:ilvl w:val="0"/>
          <w:numId w:val="15"/>
        </w:numPr>
        <w:spacing w:after="0" w:line="240" w:lineRule="auto"/>
        <w:jc w:val="both"/>
        <w:rPr>
          <w:rFonts w:ascii="Century Gothic" w:hAnsi="Century Gothic"/>
        </w:rPr>
      </w:pPr>
      <w:r>
        <w:rPr>
          <w:rFonts w:ascii="Century Gothic" w:hAnsi="Century Gothic"/>
        </w:rPr>
        <w:t xml:space="preserve">La consultation, avec différentes approches thérapeutiques : consultations thérapeutiques, psychothérapie parent-bébé, thérapie psychomotrice, groupes thérapeutiques divers (groupe des mères endeuillées, groupe dédié aux pères, groupe séparation-individuation pour les enfants de 18 à 36 mois, groupes pré et </w:t>
      </w:r>
      <w:proofErr w:type="spellStart"/>
      <w:r>
        <w:rPr>
          <w:rFonts w:ascii="Century Gothic" w:hAnsi="Century Gothic"/>
        </w:rPr>
        <w:t>post-nataux</w:t>
      </w:r>
      <w:proofErr w:type="spellEnd"/>
      <w:r>
        <w:rPr>
          <w:rFonts w:ascii="Century Gothic" w:hAnsi="Century Gothic"/>
        </w:rPr>
        <w:t>, groupes parent-bébé à médiation : massage, comptines).</w:t>
      </w:r>
    </w:p>
    <w:p>
      <w:pPr>
        <w:pStyle w:val="Paragraphedeliste"/>
        <w:numPr>
          <w:ilvl w:val="0"/>
          <w:numId w:val="15"/>
        </w:numPr>
        <w:spacing w:before="120" w:after="0" w:line="240" w:lineRule="auto"/>
        <w:ind w:left="714" w:hanging="357"/>
        <w:contextualSpacing w:val="0"/>
        <w:jc w:val="both"/>
        <w:rPr>
          <w:rFonts w:ascii="Century Gothic" w:hAnsi="Century Gothic"/>
        </w:rPr>
      </w:pPr>
      <w:r>
        <w:rPr>
          <w:rFonts w:ascii="Century Gothic" w:hAnsi="Century Gothic"/>
        </w:rPr>
        <w:t>L’unité de jour bébé-parents qui accueille jusqu’à 5 dyades (un bébé et un parent) par jour destinée à tous les enfants de moins de 1 an présentant des difficultés précoces de développement ainsi qu’aux parents ayant besoin de soutien (parents anxieux, parents présentant des troubles psychiatriques plus ou moins sévères). Cette unité repose sur des prises en charge du quotidien autour des soins prodigués au bébé, divers groupes thérapeutiques et des thérapies individuelles.</w:t>
      </w:r>
    </w:p>
    <w:p>
      <w:pPr>
        <w:pStyle w:val="Paragraphedeliste"/>
        <w:numPr>
          <w:ilvl w:val="0"/>
          <w:numId w:val="15"/>
        </w:numPr>
        <w:spacing w:before="120" w:after="0" w:line="240" w:lineRule="auto"/>
        <w:ind w:left="714" w:hanging="357"/>
        <w:contextualSpacing w:val="0"/>
        <w:jc w:val="both"/>
        <w:rPr>
          <w:rFonts w:ascii="Century Gothic" w:hAnsi="Century Gothic"/>
        </w:rPr>
      </w:pPr>
      <w:r>
        <w:rPr>
          <w:rFonts w:ascii="Century Gothic" w:hAnsi="Century Gothic"/>
        </w:rPr>
        <w:t xml:space="preserve">L’équipe mobile périnatale (EMIP) qui associe </w:t>
      </w:r>
    </w:p>
    <w:p>
      <w:pPr>
        <w:pStyle w:val="Paragraphedeliste"/>
        <w:numPr>
          <w:ilvl w:val="1"/>
          <w:numId w:val="15"/>
        </w:numPr>
        <w:spacing w:before="120" w:after="0" w:line="240" w:lineRule="auto"/>
        <w:ind w:left="1434" w:hanging="357"/>
        <w:contextualSpacing w:val="0"/>
        <w:jc w:val="both"/>
        <w:rPr>
          <w:rFonts w:ascii="Century Gothic" w:hAnsi="Century Gothic"/>
        </w:rPr>
      </w:pPr>
      <w:r>
        <w:rPr>
          <w:rFonts w:ascii="Century Gothic" w:hAnsi="Century Gothic"/>
        </w:rPr>
        <w:t>La pédopsychiatrie de liaison et les consultations prénatales en maternité (Hôpital Saint-Joseph et Institut Mutualiste Montsouris)</w:t>
      </w:r>
    </w:p>
    <w:p>
      <w:pPr>
        <w:pStyle w:val="Paragraphedeliste"/>
        <w:numPr>
          <w:ilvl w:val="1"/>
          <w:numId w:val="15"/>
        </w:numPr>
        <w:spacing w:before="120" w:after="0" w:line="240" w:lineRule="auto"/>
        <w:contextualSpacing w:val="0"/>
        <w:jc w:val="both"/>
        <w:rPr>
          <w:rFonts w:ascii="Century Gothic" w:hAnsi="Century Gothic"/>
        </w:rPr>
      </w:pPr>
      <w:r>
        <w:rPr>
          <w:rFonts w:ascii="Century Gothic" w:hAnsi="Century Gothic"/>
        </w:rPr>
        <w:t>Les consultations à domicile et les consultations dans les services du GHU pour les parents hospitalisés (services de psychiatrie)</w:t>
      </w:r>
    </w:p>
    <w:p>
      <w:pPr>
        <w:pStyle w:val="Paragraphedeliste"/>
        <w:numPr>
          <w:ilvl w:val="0"/>
          <w:numId w:val="15"/>
        </w:numPr>
        <w:spacing w:before="120" w:after="0" w:line="240" w:lineRule="auto"/>
        <w:ind w:left="714" w:hanging="357"/>
        <w:contextualSpacing w:val="0"/>
        <w:jc w:val="both"/>
        <w:rPr>
          <w:rFonts w:ascii="Century Gothic" w:hAnsi="Century Gothic"/>
        </w:rPr>
      </w:pPr>
      <w:r>
        <w:rPr>
          <w:rFonts w:ascii="Century Gothic" w:hAnsi="Century Gothic"/>
        </w:rPr>
        <w:t xml:space="preserve">La consultation CICO conjointe avec les psychiatres du secteur 13 (adulte), consultation d’expertise destinée aux futurs parents présentant un trouble psychiatrique. </w:t>
      </w:r>
    </w:p>
    <w:p>
      <w:pPr>
        <w:spacing w:after="0" w:line="240" w:lineRule="auto"/>
        <w:rPr>
          <w:rFonts w:ascii="Century Gothic" w:eastAsia="Times New Roman" w:hAnsi="Century Gothic" w:cs="Times New Roman"/>
          <w:b/>
          <w:bCs/>
          <w:color w:val="008080"/>
          <w:lang w:eastAsia="fr-FR"/>
        </w:rPr>
      </w:pPr>
      <w:r>
        <w:rPr>
          <w:rFonts w:ascii="Century Gothic" w:eastAsia="Times New Roman" w:hAnsi="Century Gothic" w:cs="Times New Roman"/>
          <w:b/>
          <w:bCs/>
          <w:color w:val="008080"/>
          <w:lang w:eastAsia="fr-FR"/>
        </w:rPr>
        <w:lastRenderedPageBreak/>
        <w:t>DESCRIPTION DU POSTE</w:t>
      </w:r>
    </w:p>
    <w:p>
      <w:pPr>
        <w:spacing w:after="0" w:line="240" w:lineRule="auto"/>
        <w:rPr>
          <w:rFonts w:ascii="Century Gothic" w:eastAsia="Times New Roman" w:hAnsi="Century Gothic" w:cs="Times New Roman"/>
          <w:b/>
          <w:bCs/>
          <w:color w:val="008080"/>
          <w:lang w:eastAsia="fr-FR"/>
        </w:rPr>
      </w:pPr>
    </w:p>
    <w:p>
      <w:pPr>
        <w:spacing w:after="120" w:line="240" w:lineRule="auto"/>
        <w:rPr>
          <w:rFonts w:ascii="Century Gothic" w:eastAsia="Times New Roman" w:hAnsi="Century Gothic" w:cs="Times New Roman"/>
          <w:b/>
          <w:bCs/>
          <w:color w:val="008080"/>
          <w:lang w:eastAsia="fr-FR"/>
        </w:rPr>
      </w:pPr>
      <w:r>
        <w:rPr>
          <w:rFonts w:ascii="Century Gothic" w:hAnsi="Century Gothic"/>
        </w:rPr>
        <w:t>Le Praticien Hospitalier partagera son activité entre deux unités, la consultation et la CICO.</w:t>
      </w:r>
    </w:p>
    <w:p>
      <w:pPr>
        <w:spacing w:after="120" w:line="240" w:lineRule="auto"/>
        <w:jc w:val="both"/>
        <w:rPr>
          <w:rFonts w:ascii="Century Gothic" w:hAnsi="Century Gothic"/>
        </w:rPr>
      </w:pPr>
      <w:r>
        <w:rPr>
          <w:rFonts w:ascii="Century Gothic" w:hAnsi="Century Gothic"/>
        </w:rPr>
        <w:t xml:space="preserve">Il/elle participera aux synthèses des unités, présentera ses situations cliniques afin que soit discuté le projet de soin.   </w:t>
      </w:r>
    </w:p>
    <w:p>
      <w:pPr>
        <w:spacing w:after="0" w:line="240" w:lineRule="auto"/>
        <w:jc w:val="both"/>
        <w:rPr>
          <w:rFonts w:ascii="Century Gothic" w:hAnsi="Century Gothic"/>
        </w:rPr>
      </w:pPr>
      <w:r>
        <w:rPr>
          <w:rFonts w:ascii="Century Gothic" w:hAnsi="Century Gothic"/>
        </w:rPr>
        <w:t>Il/elle sera aussi associé aux consultations CICO en binôme avec les psychiatres d’adulte.</w:t>
      </w:r>
    </w:p>
    <w:p>
      <w:pPr>
        <w:spacing w:after="0" w:line="240" w:lineRule="auto"/>
        <w:jc w:val="both"/>
        <w:rPr>
          <w:rFonts w:ascii="Century Gothic" w:hAnsi="Century Gothic"/>
        </w:rPr>
      </w:pPr>
    </w:p>
    <w:p>
      <w:pPr>
        <w:spacing w:after="120" w:line="240" w:lineRule="auto"/>
        <w:ind w:firstLine="708"/>
        <w:jc w:val="both"/>
        <w:rPr>
          <w:rFonts w:ascii="Century Gothic" w:eastAsia="Times New Roman" w:hAnsi="Century Gothic" w:cs="Times New Roman"/>
          <w:b/>
          <w:bCs/>
          <w:color w:val="008080"/>
          <w:lang w:eastAsia="fr-FR"/>
        </w:rPr>
      </w:pPr>
      <w:r>
        <w:rPr>
          <w:rFonts w:ascii="Century Gothic" w:eastAsia="Times New Roman" w:hAnsi="Century Gothic" w:cs="Times New Roman"/>
          <w:b/>
          <w:bCs/>
          <w:color w:val="008080"/>
          <w:lang w:eastAsia="fr-FR"/>
        </w:rPr>
        <w:t>La consultation</w:t>
      </w:r>
    </w:p>
    <w:p>
      <w:pPr>
        <w:spacing w:after="0" w:line="240" w:lineRule="auto"/>
        <w:jc w:val="both"/>
        <w:rPr>
          <w:rFonts w:ascii="Century Gothic" w:hAnsi="Century Gothic"/>
        </w:rPr>
      </w:pPr>
      <w:r>
        <w:rPr>
          <w:rFonts w:ascii="Century Gothic" w:hAnsi="Century Gothic"/>
        </w:rPr>
        <w:t>Le PH consulte seul ou en binôme avec l’équipe paramédicale (puéricultrice, infirmière, sage-femme, psychomotricienne). Il/elle reçoit les enfants de moins de 3 ans et leurs parents. Il/elle établira ensuite le projet de soin en concertation avec l’équipe.  Il s’appuie sur les ressources du service (thérapies, groupes thérapeutiques, Unité de Jour parent-bébé, équipe mobile). Il/elle peut participer aux groupes thérapeutiques.</w:t>
      </w:r>
    </w:p>
    <w:p>
      <w:pPr>
        <w:spacing w:after="0" w:line="240" w:lineRule="auto"/>
        <w:jc w:val="both"/>
        <w:rPr>
          <w:rFonts w:ascii="Century Gothic" w:hAnsi="Century Gothic"/>
        </w:rPr>
      </w:pPr>
      <w:r>
        <w:rPr>
          <w:rFonts w:ascii="Century Gothic" w:hAnsi="Century Gothic"/>
        </w:rPr>
        <w:t>Il /elle contribue à l’organisation et à l’animation de la synthèse pluridisciplinaire hebdomadaire.</w:t>
      </w:r>
    </w:p>
    <w:p>
      <w:pPr>
        <w:spacing w:after="0" w:line="240" w:lineRule="auto"/>
        <w:jc w:val="both"/>
        <w:rPr>
          <w:rFonts w:ascii="Century Gothic" w:hAnsi="Century Gothic"/>
        </w:rPr>
      </w:pPr>
    </w:p>
    <w:p>
      <w:pPr>
        <w:spacing w:after="120" w:line="240" w:lineRule="auto"/>
        <w:ind w:firstLine="708"/>
        <w:jc w:val="both"/>
        <w:rPr>
          <w:rFonts w:ascii="Century Gothic" w:eastAsia="Times New Roman" w:hAnsi="Century Gothic" w:cs="Times New Roman"/>
          <w:b/>
          <w:bCs/>
          <w:color w:val="008080"/>
          <w:lang w:eastAsia="fr-FR"/>
        </w:rPr>
      </w:pPr>
      <w:r>
        <w:rPr>
          <w:rFonts w:ascii="Century Gothic" w:eastAsia="Times New Roman" w:hAnsi="Century Gothic" w:cs="Times New Roman"/>
          <w:b/>
          <w:bCs/>
          <w:color w:val="008080"/>
          <w:lang w:eastAsia="fr-FR"/>
        </w:rPr>
        <w:t xml:space="preserve">La CICO (consultations d’expertise, prénatales et/ou </w:t>
      </w:r>
      <w:proofErr w:type="spellStart"/>
      <w:r>
        <w:rPr>
          <w:rFonts w:ascii="Century Gothic" w:eastAsia="Times New Roman" w:hAnsi="Century Gothic" w:cs="Times New Roman"/>
          <w:b/>
          <w:bCs/>
          <w:color w:val="008080"/>
          <w:lang w:eastAsia="fr-FR"/>
        </w:rPr>
        <w:t>préconceptionnelles</w:t>
      </w:r>
      <w:proofErr w:type="spellEnd"/>
      <w:r>
        <w:rPr>
          <w:rFonts w:ascii="Century Gothic" w:eastAsia="Times New Roman" w:hAnsi="Century Gothic" w:cs="Times New Roman"/>
          <w:b/>
          <w:bCs/>
          <w:color w:val="008080"/>
          <w:lang w:eastAsia="fr-FR"/>
        </w:rPr>
        <w:t xml:space="preserve">) </w:t>
      </w:r>
    </w:p>
    <w:p>
      <w:pPr>
        <w:spacing w:after="0" w:line="240" w:lineRule="auto"/>
        <w:jc w:val="both"/>
        <w:rPr>
          <w:rFonts w:ascii="Century Gothic" w:hAnsi="Century Gothic"/>
        </w:rPr>
      </w:pPr>
      <w:r>
        <w:rPr>
          <w:rFonts w:ascii="Century Gothic" w:hAnsi="Century Gothic"/>
        </w:rPr>
        <w:t xml:space="preserve">Il/elle consulte en binôme (psychiatre-pédopsychiatre) afin de prodiguer des recommandations sur le traitement et le parcours de soin des futurs parents ayant un trouble psychiatrique. </w:t>
      </w:r>
    </w:p>
    <w:p>
      <w:pPr>
        <w:spacing w:after="0" w:line="240" w:lineRule="auto"/>
        <w:jc w:val="both"/>
        <w:rPr>
          <w:rFonts w:ascii="Century Gothic" w:hAnsi="Century Gothic"/>
        </w:rPr>
      </w:pPr>
    </w:p>
    <w:p>
      <w:pPr>
        <w:spacing w:after="120" w:line="240" w:lineRule="auto"/>
        <w:ind w:firstLine="708"/>
        <w:jc w:val="both"/>
        <w:rPr>
          <w:rFonts w:ascii="Century Gothic" w:eastAsia="Times New Roman" w:hAnsi="Century Gothic" w:cs="Times New Roman"/>
          <w:b/>
          <w:bCs/>
          <w:color w:val="008080"/>
          <w:lang w:eastAsia="fr-FR"/>
        </w:rPr>
      </w:pPr>
      <w:r>
        <w:rPr>
          <w:rFonts w:ascii="Century Gothic" w:eastAsia="Times New Roman" w:hAnsi="Century Gothic" w:cs="Times New Roman"/>
          <w:b/>
          <w:bCs/>
          <w:color w:val="008080"/>
          <w:lang w:eastAsia="fr-FR"/>
        </w:rPr>
        <w:t>Les activités d’enseignement et de formation</w:t>
      </w:r>
    </w:p>
    <w:p>
      <w:pPr>
        <w:spacing w:after="0" w:line="240" w:lineRule="auto"/>
        <w:jc w:val="both"/>
        <w:rPr>
          <w:rFonts w:ascii="Century Gothic" w:hAnsi="Century Gothic"/>
        </w:rPr>
      </w:pPr>
      <w:r>
        <w:rPr>
          <w:rFonts w:ascii="Century Gothic" w:hAnsi="Century Gothic"/>
        </w:rPr>
        <w:t>Le service accueille externes et internes. A ce titre, le PH participe à l’enseignement didactique (cours) et pratique (mise en situation clinique des étudiants)</w:t>
      </w:r>
    </w:p>
    <w:p>
      <w:pPr>
        <w:spacing w:after="120" w:line="240" w:lineRule="auto"/>
        <w:jc w:val="both"/>
        <w:rPr>
          <w:rFonts w:ascii="Century Gothic" w:hAnsi="Century Gothic"/>
        </w:rPr>
      </w:pPr>
      <w:r>
        <w:rPr>
          <w:rFonts w:ascii="Century Gothic" w:hAnsi="Century Gothic"/>
        </w:rPr>
        <w:t>L’ensemble de l’équipe bénéficie de séances de formation animées par les professionnels du service ou sur invitation de divers professionnels.</w:t>
      </w:r>
    </w:p>
    <w:p>
      <w:pPr>
        <w:spacing w:after="0" w:line="240" w:lineRule="auto"/>
        <w:jc w:val="both"/>
        <w:rPr>
          <w:rFonts w:ascii="Century Gothic" w:hAnsi="Century Gothic"/>
        </w:rPr>
      </w:pPr>
      <w:r>
        <w:rPr>
          <w:rFonts w:ascii="Century Gothic" w:hAnsi="Century Gothic"/>
        </w:rPr>
        <w:t xml:space="preserve">Le service </w:t>
      </w:r>
      <w:proofErr w:type="spellStart"/>
      <w:r>
        <w:rPr>
          <w:rFonts w:ascii="Century Gothic" w:hAnsi="Century Gothic"/>
        </w:rPr>
        <w:t>co-organise</w:t>
      </w:r>
      <w:proofErr w:type="spellEnd"/>
    </w:p>
    <w:p>
      <w:pPr>
        <w:pStyle w:val="Paragraphedeliste"/>
        <w:numPr>
          <w:ilvl w:val="0"/>
          <w:numId w:val="16"/>
        </w:numPr>
        <w:spacing w:after="0" w:line="240" w:lineRule="auto"/>
        <w:jc w:val="both"/>
        <w:rPr>
          <w:rFonts w:ascii="Century Gothic" w:hAnsi="Century Gothic"/>
        </w:rPr>
      </w:pPr>
      <w:r>
        <w:rPr>
          <w:rFonts w:ascii="Century Gothic" w:hAnsi="Century Gothic"/>
        </w:rPr>
        <w:t xml:space="preserve">Un séminaire sur les consultations thérapeutiques animé par les Pr </w:t>
      </w:r>
      <w:proofErr w:type="spellStart"/>
      <w:r>
        <w:rPr>
          <w:rFonts w:ascii="Century Gothic" w:hAnsi="Century Gothic"/>
        </w:rPr>
        <w:t>Golse</w:t>
      </w:r>
      <w:proofErr w:type="spellEnd"/>
      <w:r>
        <w:rPr>
          <w:rFonts w:ascii="Century Gothic" w:hAnsi="Century Gothic"/>
        </w:rPr>
        <w:t xml:space="preserve"> et Missonnier.</w:t>
      </w:r>
    </w:p>
    <w:p>
      <w:pPr>
        <w:pStyle w:val="Paragraphedeliste"/>
        <w:numPr>
          <w:ilvl w:val="0"/>
          <w:numId w:val="16"/>
        </w:numPr>
        <w:spacing w:after="0" w:line="240" w:lineRule="auto"/>
        <w:jc w:val="both"/>
        <w:rPr>
          <w:rFonts w:ascii="Century Gothic" w:hAnsi="Century Gothic"/>
        </w:rPr>
      </w:pPr>
      <w:r>
        <w:rPr>
          <w:rFonts w:ascii="Century Gothic" w:hAnsi="Century Gothic"/>
        </w:rPr>
        <w:t>Une RCP (Réunion de Concertation Pluridisciplinaire) mensuelle dédiée à l’ensemble des professionnels de périnatalité d’Île de France afin de mieux accompagner les cas les plus complexes</w:t>
      </w:r>
    </w:p>
    <w:p>
      <w:pPr>
        <w:spacing w:after="0" w:line="240" w:lineRule="auto"/>
        <w:rPr>
          <w:rFonts w:ascii="Century Gothic" w:eastAsia="Times New Roman" w:hAnsi="Century Gothic" w:cs="Times New Roman"/>
          <w:lang w:eastAsia="fr-FR"/>
        </w:rPr>
      </w:pPr>
    </w:p>
    <w:p>
      <w:pPr>
        <w:spacing w:after="120" w:line="240" w:lineRule="auto"/>
        <w:rPr>
          <w:rFonts w:ascii="Century Gothic" w:eastAsia="Times New Roman" w:hAnsi="Century Gothic" w:cs="Times New Roman"/>
          <w:b/>
          <w:bCs/>
          <w:color w:val="008080"/>
          <w:lang w:eastAsia="fr-FR"/>
        </w:rPr>
      </w:pPr>
      <w:r>
        <w:rPr>
          <w:rFonts w:ascii="Century Gothic" w:eastAsia="Times New Roman" w:hAnsi="Century Gothic" w:cs="Times New Roman"/>
          <w:b/>
          <w:bCs/>
          <w:color w:val="008080"/>
          <w:lang w:eastAsia="fr-FR"/>
        </w:rPr>
        <w:t>CONTACT</w:t>
      </w:r>
    </w:p>
    <w:p>
      <w:pPr>
        <w:spacing w:after="0" w:line="240" w:lineRule="auto"/>
        <w:rPr>
          <w:rFonts w:ascii="Century Gothic" w:eastAsia="Times New Roman" w:hAnsi="Century Gothic" w:cs="Times New Roman"/>
          <w:lang w:eastAsia="fr-FR"/>
        </w:rPr>
      </w:pPr>
      <w:r>
        <w:rPr>
          <w:rFonts w:ascii="Century Gothic" w:hAnsi="Century Gothic"/>
        </w:rPr>
        <w:t xml:space="preserve">Dr Romain DUGRAVIER, chef de service </w:t>
      </w:r>
      <w:r>
        <w:rPr>
          <w:rFonts w:ascii="Century Gothic" w:hAnsi="Century Gothic"/>
        </w:rPr>
        <w:tab/>
      </w:r>
      <w:hyperlink r:id="rId14" w:history="1">
        <w:r>
          <w:rPr>
            <w:rStyle w:val="Lienhypertexte"/>
            <w:rFonts w:ascii="Century Gothic" w:hAnsi="Century Gothic"/>
          </w:rPr>
          <w:t>R.DUGRAVIER@ghu-paris.fr</w:t>
        </w:r>
      </w:hyperlink>
    </w:p>
    <w:sectPr>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rPr>
        <w:rFonts w:ascii="Century Gothic" w:hAnsi="Century Gothic"/>
        <w:b/>
        <w:noProof/>
        <w:lang w:eastAsia="fr-FR"/>
      </w:rPr>
      <w:drawing>
        <wp:anchor distT="0" distB="0" distL="114300" distR="114300" simplePos="0" relativeHeight="251662336" behindDoc="0" locked="0" layoutInCell="1" allowOverlap="1">
          <wp:simplePos x="0" y="0"/>
          <wp:positionH relativeFrom="margin">
            <wp:posOffset>-443865</wp:posOffset>
          </wp:positionH>
          <wp:positionV relativeFrom="paragraph">
            <wp:posOffset>-476250</wp:posOffset>
          </wp:positionV>
          <wp:extent cx="6699584" cy="247650"/>
          <wp:effectExtent l="0" t="0" r="6350" b="0"/>
          <wp:wrapSquare wrapText="bothSides"/>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99584" cy="2476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4384" behindDoc="0" locked="0" layoutInCell="1" allowOverlap="1">
          <wp:simplePos x="0" y="0"/>
          <wp:positionH relativeFrom="margin">
            <wp:posOffset>-400050</wp:posOffset>
          </wp:positionH>
          <wp:positionV relativeFrom="paragraph">
            <wp:posOffset>-264160</wp:posOffset>
          </wp:positionV>
          <wp:extent cx="6405843" cy="1057275"/>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1739" t="45698" r="54200" b="37227"/>
                  <a:stretch/>
                </pic:blipFill>
                <pic:spPr bwMode="auto">
                  <a:xfrm>
                    <a:off x="0" y="0"/>
                    <a:ext cx="6405843"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Pieddepage"/>
    </w:pPr>
    <w:r>
      <w:rPr>
        <w:noProof/>
        <w:lang w:eastAsia="fr-FR"/>
      </w:rPr>
      <mc:AlternateContent>
        <mc:Choice Requires="wps">
          <w:drawing>
            <wp:anchor distT="45720" distB="45720" distL="114300" distR="114300" simplePos="0" relativeHeight="251660288" behindDoc="0" locked="0" layoutInCell="1" allowOverlap="1">
              <wp:simplePos x="0" y="0"/>
              <wp:positionH relativeFrom="column">
                <wp:posOffset>2979420</wp:posOffset>
              </wp:positionH>
              <wp:positionV relativeFrom="paragraph">
                <wp:posOffset>13335</wp:posOffset>
              </wp:positionV>
              <wp:extent cx="2360930" cy="7391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solidFill>
                        <a:srgbClr val="FFFFFF"/>
                      </a:solidFill>
                      <a:ln w="9525">
                        <a:noFill/>
                        <a:miter lim="800000"/>
                        <a:headEnd/>
                        <a:tailEnd/>
                      </a:ln>
                    </wps:spPr>
                    <wps:txbx>
                      <w:txbxContent>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pPr>
                            <w:spacing w:after="0" w:line="240" w:lineRule="auto"/>
                            <w:rPr>
                              <w:rFonts w:ascii="Century Gothic" w:hAnsi="Century Gothic"/>
                              <w:color w:val="A6A6A6" w:themeColor="background1" w:themeShade="A6"/>
                              <w:sz w:val="16"/>
                            </w:rPr>
                          </w:pPr>
                          <w:hyperlink r:id="rId3" w:history="1">
                            <w:r>
                              <w:rPr>
                                <w:rStyle w:val="Lienhypertexte"/>
                                <w:rFonts w:ascii="Century Gothic" w:hAnsi="Century Gothic"/>
                                <w:sz w:val="16"/>
                              </w:rPr>
                              <w:t>www.ghu-paris.fr</w:t>
                            </w:r>
                          </w:hyperlink>
                          <w:r>
                            <w:rPr>
                              <w:rFonts w:ascii="Century Gothic" w:hAnsi="Century Gothic"/>
                              <w:color w:val="A6A6A6" w:themeColor="background1" w:themeShade="A6"/>
                              <w:sz w:val="16"/>
                            </w:rPr>
                            <w:t xml:space="preserve"> </w:t>
                          </w: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p>
                        <w:p>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34.6pt;margin-top:1.05pt;width:185.9pt;height:58.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" stroked="f">
              <v:textbox>
                <w:txbxContent>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pPr>
                      <w:spacing w:after="0" w:line="240" w:lineRule="auto"/>
                      <w:rPr>
                        <w:rFonts w:ascii="Century Gothic" w:hAnsi="Century Gothic"/>
                        <w:color w:val="A6A6A6" w:themeColor="background1" w:themeShade="A6"/>
                        <w:sz w:val="16"/>
                      </w:rPr>
                    </w:pPr>
                    <w:hyperlink r:id="rId4" w:history="1">
                      <w:r>
                        <w:rPr>
                          <w:rStyle w:val="Lienhypertexte"/>
                          <w:rFonts w:ascii="Century Gothic" w:hAnsi="Century Gothic"/>
                          <w:sz w:val="16"/>
                        </w:rPr>
                        <w:t>www.ghu-paris.fr</w:t>
                      </w:r>
                    </w:hyperlink>
                    <w:r>
                      <w:rPr>
                        <w:rFonts w:ascii="Century Gothic" w:hAnsi="Century Gothic"/>
                        <w:color w:val="A6A6A6" w:themeColor="background1" w:themeShade="A6"/>
                        <w:sz w:val="16"/>
                      </w:rPr>
                      <w:t xml:space="preserve"> </w:t>
                    </w: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p>
                  <w:p>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v:textbox>
              <w10:wrap type="square"/>
            </v:shape>
          </w:pict>
        </mc:Fallback>
      </mc:AlternateContent>
    </w:r>
    <w:r>
      <w:rPr>
        <w:rFonts w:ascii="Century Gothic" w:hAnsi="Century Gothic"/>
        <w:caps/>
        <w:noProof/>
        <w:color w:val="404040" w:themeColor="text1" w:themeTint="BF"/>
        <w:sz w:val="32"/>
        <w:lang w:eastAsia="fr-FR"/>
      </w:rPr>
      <w:drawing>
        <wp:anchor distT="0" distB="0" distL="114300" distR="114300" simplePos="0" relativeHeight="251659264" behindDoc="1" locked="0" layoutInCell="1" allowOverlap="1">
          <wp:simplePos x="0" y="0"/>
          <wp:positionH relativeFrom="column">
            <wp:posOffset>1566545</wp:posOffset>
          </wp:positionH>
          <wp:positionV relativeFrom="paragraph">
            <wp:posOffset>36830</wp:posOffset>
          </wp:positionV>
          <wp:extent cx="1335405" cy="380365"/>
          <wp:effectExtent l="0" t="0" r="0" b="635"/>
          <wp:wrapTight wrapText="bothSides">
            <wp:wrapPolygon edited="0">
              <wp:start x="2773" y="0"/>
              <wp:lineTo x="1233" y="2164"/>
              <wp:lineTo x="0" y="9736"/>
              <wp:lineTo x="0" y="20554"/>
              <wp:lineTo x="3081" y="20554"/>
              <wp:lineTo x="21261" y="20554"/>
              <wp:lineTo x="21261" y="0"/>
              <wp:lineTo x="2773"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gh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405" cy="380365"/>
                  </a:xfrm>
                  <a:prstGeom prst="rect">
                    <a:avLst/>
                  </a:prstGeom>
                </pic:spPr>
              </pic:pic>
            </a:graphicData>
          </a:graphic>
          <wp14:sizeRelH relativeFrom="page">
            <wp14:pctWidth>0</wp14:pctWidth>
          </wp14:sizeRelH>
          <wp14:sizeRelV relativeFrom="page">
            <wp14:pctHeight>0</wp14:pctHeight>
          </wp14:sizeRelV>
        </wp:anchor>
      </w:drawing>
    </w: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46"/>
    <w:multiLevelType w:val="multilevel"/>
    <w:tmpl w:val="155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4E71"/>
    <w:multiLevelType w:val="multilevel"/>
    <w:tmpl w:val="0AE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07507"/>
    <w:multiLevelType w:val="hybridMultilevel"/>
    <w:tmpl w:val="B134C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D1348C"/>
    <w:multiLevelType w:val="multilevel"/>
    <w:tmpl w:val="176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A5B4D"/>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B12A0"/>
    <w:multiLevelType w:val="hybridMultilevel"/>
    <w:tmpl w:val="C28647E2"/>
    <w:lvl w:ilvl="0" w:tplc="4CB8A314">
      <w:start w:val="2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374CF6"/>
    <w:multiLevelType w:val="multilevel"/>
    <w:tmpl w:val="868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D134A"/>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74393"/>
    <w:multiLevelType w:val="hybridMultilevel"/>
    <w:tmpl w:val="AC72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3E6131"/>
    <w:multiLevelType w:val="hybridMultilevel"/>
    <w:tmpl w:val="0090F1DE"/>
    <w:lvl w:ilvl="0" w:tplc="90A8F656">
      <w:numFmt w:val="bullet"/>
      <w:lvlText w:val="-"/>
      <w:lvlJc w:val="left"/>
      <w:pPr>
        <w:ind w:left="1070" w:hanging="360"/>
      </w:pPr>
      <w:rPr>
        <w:rFonts w:ascii="Century Gothic" w:eastAsiaTheme="minorHAnsi" w:hAnsi="Century Gothic" w:cstheme="minorBid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0" w15:restartNumberingAfterBreak="0">
    <w:nsid w:val="4EAD0131"/>
    <w:multiLevelType w:val="hybridMultilevel"/>
    <w:tmpl w:val="C478B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810479"/>
    <w:multiLevelType w:val="hybridMultilevel"/>
    <w:tmpl w:val="FC980EFE"/>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2" w15:restartNumberingAfterBreak="0">
    <w:nsid w:val="638A78FD"/>
    <w:multiLevelType w:val="multilevel"/>
    <w:tmpl w:val="94E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B0014"/>
    <w:multiLevelType w:val="hybridMultilevel"/>
    <w:tmpl w:val="60E6C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863BE5"/>
    <w:multiLevelType w:val="multilevel"/>
    <w:tmpl w:val="DB8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3244C"/>
    <w:multiLevelType w:val="hybridMultilevel"/>
    <w:tmpl w:val="F2F8ACF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1"/>
  </w:num>
  <w:num w:numId="5">
    <w:abstractNumId w:val="0"/>
  </w:num>
  <w:num w:numId="6">
    <w:abstractNumId w:val="3"/>
  </w:num>
  <w:num w:numId="7">
    <w:abstractNumId w:val="6"/>
  </w:num>
  <w:num w:numId="8">
    <w:abstractNumId w:val="4"/>
  </w:num>
  <w:num w:numId="9">
    <w:abstractNumId w:val="10"/>
  </w:num>
  <w:num w:numId="10">
    <w:abstractNumId w:val="8"/>
  </w:num>
  <w:num w:numId="11">
    <w:abstractNumId w:val="2"/>
  </w:num>
  <w:num w:numId="12">
    <w:abstractNumId w:val="13"/>
  </w:num>
  <w:num w:numId="13">
    <w:abstractNumId w:val="11"/>
  </w:num>
  <w:num w:numId="14">
    <w:abstractNumId w:val="5"/>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4E2A451-F40C-40B2-A178-A674F91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u w:val="single"/>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21704">
      <w:bodyDiv w:val="1"/>
      <w:marLeft w:val="0"/>
      <w:marRight w:val="0"/>
      <w:marTop w:val="0"/>
      <w:marBottom w:val="0"/>
      <w:divBdr>
        <w:top w:val="none" w:sz="0" w:space="0" w:color="auto"/>
        <w:left w:val="none" w:sz="0" w:space="0" w:color="auto"/>
        <w:bottom w:val="none" w:sz="0" w:space="0" w:color="auto"/>
        <w:right w:val="none" w:sz="0" w:space="0" w:color="auto"/>
      </w:divBdr>
    </w:div>
    <w:div w:id="18991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ghu-par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hu-pari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3076897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hu-paris.fr/fr/2019-ght-devient-ghu-paris/" TargetMode="External"/><Relationship Id="rId4" Type="http://schemas.openxmlformats.org/officeDocument/2006/relationships/settings" Target="settings.xml"/><Relationship Id="rId9" Type="http://schemas.openxmlformats.org/officeDocument/2006/relationships/hyperlink" Target="mailto:R.DUGRAVIER@ghu-paris.fr" TargetMode="External"/><Relationship Id="rId14" Type="http://schemas.openxmlformats.org/officeDocument/2006/relationships/hyperlink" Target="mailto:R.DUGRAVIER@ghu-paris.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hu-paris.fr"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ghu-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6F3BC-E32B-429A-906E-F543460C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5365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DUGRAVIER Romain;NACFER Jules</dc:creator>
  <cp:lastModifiedBy>NACFER Jules</cp:lastModifiedBy>
  <cp:revision>2</cp:revision>
  <cp:lastPrinted>2018-03-21T10:31:00Z</cp:lastPrinted>
  <dcterms:created xsi:type="dcterms:W3CDTF">2025-04-11T14:38:00Z</dcterms:created>
  <dcterms:modified xsi:type="dcterms:W3CDTF">2025-04-11T14:38:00Z</dcterms:modified>
</cp:coreProperties>
</file>